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91775" w:rsidP="00F35B4B" w:rsidRDefault="00213784" w14:paraId="5280DEEB" w14:textId="6B6F9F9E">
      <w:pPr>
        <w:pStyle w:val="Heading1"/>
        <w:jc w:val="center"/>
      </w:pPr>
      <w:bookmarkStart w:name="_Hlk211453993" w:id="0"/>
      <w:bookmarkStart w:name="_Toc216938694" w:id="1"/>
      <w:r w:rsidR="00213784">
        <w:rPr/>
        <w:t>Anexo</w:t>
      </w:r>
      <w:r w:rsidR="0017078B">
        <w:rPr/>
        <w:t xml:space="preserve"> </w:t>
      </w:r>
      <w:r w:rsidR="57FBCDE2">
        <w:rPr/>
        <w:t>3</w:t>
      </w:r>
      <w:r w:rsidR="00213784">
        <w:rPr/>
        <w:t xml:space="preserve">. </w:t>
      </w:r>
      <w:r w:rsidR="6A7822AF">
        <w:rPr/>
        <w:t>Efecto</w:t>
      </w:r>
      <w:r w:rsidR="03A24A06">
        <w:rPr/>
        <w:t>s</w:t>
      </w:r>
      <w:r w:rsidR="05EC4466">
        <w:rPr/>
        <w:t xml:space="preserve"> </w:t>
      </w:r>
      <w:r w:rsidR="00213784">
        <w:rPr/>
        <w:t>de</w:t>
      </w:r>
      <w:r w:rsidR="4CF041BC">
        <w:rPr/>
        <w:t>l</w:t>
      </w:r>
      <w:r w:rsidR="00213784">
        <w:rPr/>
        <w:t xml:space="preserve"> </w:t>
      </w:r>
      <w:r w:rsidR="4CF041BC">
        <w:rPr/>
        <w:t>proyecto de</w:t>
      </w:r>
      <w:r w:rsidR="00213784">
        <w:rPr/>
        <w:t xml:space="preserve"> resolución</w:t>
      </w:r>
      <w:r w:rsidR="42F7266E">
        <w:rPr/>
        <w:t xml:space="preserve"> con res</w:t>
      </w:r>
      <w:r w:rsidR="26649481">
        <w:rPr/>
        <w:t>pecto a la sentencia del Rio Bogotá</w:t>
      </w:r>
      <w:r w:rsidR="7D970433">
        <w:rPr/>
        <w:t xml:space="preserve"> y otros impactos</w:t>
      </w:r>
      <w:r w:rsidR="26649481">
        <w:rPr/>
        <w:t>.</w:t>
      </w:r>
      <w:bookmarkEnd w:id="1"/>
    </w:p>
    <w:p w:rsidRPr="002544EC" w:rsidR="002544EC" w:rsidP="002544EC" w:rsidRDefault="002544EC" w14:paraId="7B2D8EF4" w14:textId="77777777"/>
    <w:sdt>
      <w:sdtPr>
        <w:rPr>
          <w:sz w:val="28"/>
          <w:szCs w:val="28"/>
        </w:rPr>
        <w:id w:val="-1258903652"/>
        <w:docPartObj>
          <w:docPartGallery w:val="Table of Contents"/>
          <w:docPartUnique/>
        </w:docPartObj>
      </w:sdtPr>
      <w:sdtEndPr>
        <w:rPr>
          <w:rFonts w:ascii="Aptos" w:hAnsi="Aptos" w:eastAsia="Aptos" w:cs="Arial" w:asciiTheme="minorAscii" w:hAnsiTheme="minorAscii" w:eastAsiaTheme="minorAscii" w:cstheme="minorBidi"/>
          <w:b w:val="1"/>
          <w:bCs w:val="1"/>
          <w:noProof/>
          <w:color w:val="auto"/>
          <w:kern w:val="2"/>
          <w:sz w:val="24"/>
          <w:szCs w:val="24"/>
          <w:lang w:val="es-CO"/>
          <w14:ligatures w14:val="standardContextual"/>
        </w:rPr>
      </w:sdtEndPr>
      <w:sdtContent>
        <w:p w:rsidRPr="00FA55D4" w:rsidR="004B020A" w:rsidP="00B215F0" w:rsidRDefault="00FA55D4" w14:paraId="6587E723" w14:textId="1E9B6647">
          <w:pPr>
            <w:pStyle w:val="TOCHeading"/>
            <w:jc w:val="center"/>
            <w:rPr>
              <w:sz w:val="28"/>
              <w:szCs w:val="28"/>
            </w:rPr>
          </w:pPr>
          <w:proofErr w:type="spellStart"/>
          <w:r w:rsidRPr="00FA55D4">
            <w:rPr>
              <w:sz w:val="28"/>
              <w:szCs w:val="28"/>
            </w:rPr>
            <w:t>Tabla</w:t>
          </w:r>
          <w:proofErr w:type="spellEnd"/>
          <w:r w:rsidRPr="00FA55D4">
            <w:rPr>
              <w:sz w:val="28"/>
              <w:szCs w:val="28"/>
            </w:rPr>
            <w:t xml:space="preserve"> de </w:t>
          </w:r>
          <w:proofErr w:type="spellStart"/>
          <w:r w:rsidRPr="00FA55D4" w:rsidR="004B020A">
            <w:rPr>
              <w:sz w:val="28"/>
              <w:szCs w:val="28"/>
            </w:rPr>
            <w:t>Conten</w:t>
          </w:r>
          <w:r w:rsidRPr="00FA55D4">
            <w:rPr>
              <w:sz w:val="28"/>
              <w:szCs w:val="28"/>
            </w:rPr>
            <w:t>ido</w:t>
          </w:r>
          <w:proofErr w:type="spellEnd"/>
        </w:p>
        <w:p w:rsidRPr="00FA55D4" w:rsidR="00FA55D4" w:rsidRDefault="004B020A" w14:paraId="28EF6983" w14:textId="2165EF98">
          <w:pPr>
            <w:pStyle w:val="TOC1"/>
            <w:tabs>
              <w:tab w:val="right" w:leader="dot" w:pos="9350"/>
            </w:tabs>
            <w:rPr>
              <w:rFonts w:eastAsiaTheme="minorEastAsia"/>
              <w:noProof/>
              <w:sz w:val="22"/>
              <w:szCs w:val="22"/>
              <w:lang w:val="en-US"/>
            </w:rPr>
          </w:pPr>
          <w:r w:rsidRPr="00FA55D4">
            <w:rPr>
              <w:sz w:val="22"/>
              <w:szCs w:val="22"/>
            </w:rPr>
            <w:fldChar w:fldCharType="begin"/>
          </w:r>
          <w:r w:rsidRPr="00FA55D4">
            <w:rPr>
              <w:sz w:val="22"/>
              <w:szCs w:val="22"/>
            </w:rPr>
            <w:instrText xml:space="preserve"> TOC \o "1-3" \h \z \u </w:instrText>
          </w:r>
          <w:r w:rsidRPr="00FA55D4">
            <w:rPr>
              <w:sz w:val="22"/>
              <w:szCs w:val="22"/>
            </w:rPr>
            <w:fldChar w:fldCharType="separate"/>
          </w:r>
        </w:p>
        <w:p w:rsidRPr="00FA55D4" w:rsidR="00FA55D4" w:rsidRDefault="00FA55D4" w14:paraId="03AF987E" w14:textId="4333CA46">
          <w:pPr>
            <w:pStyle w:val="TOC2"/>
            <w:tabs>
              <w:tab w:val="left" w:pos="720"/>
              <w:tab w:val="right" w:leader="dot" w:pos="9350"/>
            </w:tabs>
            <w:rPr>
              <w:rFonts w:eastAsiaTheme="minorEastAsia"/>
              <w:noProof/>
              <w:sz w:val="22"/>
              <w:szCs w:val="22"/>
              <w:lang w:val="en-US"/>
            </w:rPr>
          </w:pPr>
          <w:hyperlink w:history="1" w:anchor="_Toc216938695">
            <w:r w:rsidRPr="00FA55D4">
              <w:rPr>
                <w:rStyle w:val="Hyperlink"/>
                <w:noProof/>
                <w:sz w:val="22"/>
                <w:szCs w:val="22"/>
              </w:rPr>
              <w:t>1.</w:t>
            </w:r>
            <w:r w:rsidRPr="00FA55D4">
              <w:rPr>
                <w:rFonts w:eastAsiaTheme="minorEastAsia"/>
                <w:noProof/>
                <w:sz w:val="22"/>
                <w:szCs w:val="22"/>
                <w:lang w:val="en-US"/>
              </w:rPr>
              <w:tab/>
            </w:r>
            <w:r w:rsidRPr="00FA55D4">
              <w:rPr>
                <w:rStyle w:val="Hyperlink"/>
                <w:noProof/>
                <w:sz w:val="22"/>
                <w:szCs w:val="22"/>
              </w:rPr>
              <w:t>Efectos sobre los nuevos usos del suelo.</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_Toc216938695 \h </w:instrText>
            </w:r>
            <w:r w:rsidRPr="00FA55D4">
              <w:rPr>
                <w:noProof/>
                <w:webHidden/>
                <w:sz w:val="22"/>
                <w:szCs w:val="22"/>
              </w:rPr>
            </w:r>
            <w:r w:rsidRPr="00FA55D4">
              <w:rPr>
                <w:noProof/>
                <w:webHidden/>
                <w:sz w:val="22"/>
                <w:szCs w:val="22"/>
              </w:rPr>
              <w:fldChar w:fldCharType="separate"/>
            </w:r>
            <w:r w:rsidRPr="00FA55D4">
              <w:rPr>
                <w:noProof/>
                <w:webHidden/>
                <w:sz w:val="22"/>
                <w:szCs w:val="22"/>
              </w:rPr>
              <w:t>2</w:t>
            </w:r>
            <w:r w:rsidRPr="00FA55D4">
              <w:rPr>
                <w:noProof/>
                <w:webHidden/>
                <w:sz w:val="22"/>
                <w:szCs w:val="22"/>
              </w:rPr>
              <w:fldChar w:fldCharType="end"/>
            </w:r>
          </w:hyperlink>
        </w:p>
        <w:p w:rsidRPr="00FA55D4" w:rsidR="00FA55D4" w:rsidRDefault="00FA55D4" w14:paraId="0279BB58" w14:textId="1F305EC6">
          <w:pPr>
            <w:pStyle w:val="TOC2"/>
            <w:tabs>
              <w:tab w:val="left" w:pos="720"/>
              <w:tab w:val="right" w:leader="dot" w:pos="9350"/>
            </w:tabs>
            <w:rPr>
              <w:rFonts w:eastAsiaTheme="minorEastAsia"/>
              <w:noProof/>
              <w:sz w:val="22"/>
              <w:szCs w:val="22"/>
              <w:lang w:val="en-US"/>
            </w:rPr>
          </w:pPr>
          <w:hyperlink w:history="1" w:anchor="_Toc216938696">
            <w:r w:rsidRPr="00FA55D4">
              <w:rPr>
                <w:rStyle w:val="Hyperlink"/>
                <w:noProof/>
                <w:sz w:val="22"/>
                <w:szCs w:val="22"/>
              </w:rPr>
              <w:t>2.</w:t>
            </w:r>
            <w:r w:rsidRPr="00FA55D4">
              <w:rPr>
                <w:rFonts w:eastAsiaTheme="minorEastAsia"/>
                <w:noProof/>
                <w:sz w:val="22"/>
                <w:szCs w:val="22"/>
                <w:lang w:val="en-US"/>
              </w:rPr>
              <w:tab/>
            </w:r>
            <w:r w:rsidRPr="00FA55D4">
              <w:rPr>
                <w:rStyle w:val="Hyperlink"/>
                <w:noProof/>
                <w:sz w:val="22"/>
                <w:szCs w:val="22"/>
              </w:rPr>
              <w:t>Efectos sobre infraestructura de servicios públicos</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_Toc216938696 \h </w:instrText>
            </w:r>
            <w:r w:rsidRPr="00FA55D4">
              <w:rPr>
                <w:noProof/>
                <w:webHidden/>
                <w:sz w:val="22"/>
                <w:szCs w:val="22"/>
              </w:rPr>
            </w:r>
            <w:r w:rsidRPr="00FA55D4">
              <w:rPr>
                <w:noProof/>
                <w:webHidden/>
                <w:sz w:val="22"/>
                <w:szCs w:val="22"/>
              </w:rPr>
              <w:fldChar w:fldCharType="separate"/>
            </w:r>
            <w:r w:rsidRPr="00FA55D4">
              <w:rPr>
                <w:noProof/>
                <w:webHidden/>
                <w:sz w:val="22"/>
                <w:szCs w:val="22"/>
              </w:rPr>
              <w:t>4</w:t>
            </w:r>
            <w:r w:rsidRPr="00FA55D4">
              <w:rPr>
                <w:noProof/>
                <w:webHidden/>
                <w:sz w:val="22"/>
                <w:szCs w:val="22"/>
              </w:rPr>
              <w:fldChar w:fldCharType="end"/>
            </w:r>
          </w:hyperlink>
        </w:p>
        <w:p w:rsidRPr="00FA55D4" w:rsidR="00FA55D4" w:rsidRDefault="00FA55D4" w14:paraId="1314E0D5" w14:textId="1CDA4054">
          <w:pPr>
            <w:pStyle w:val="TOC2"/>
            <w:tabs>
              <w:tab w:val="left" w:pos="720"/>
              <w:tab w:val="right" w:leader="dot" w:pos="9350"/>
            </w:tabs>
            <w:rPr>
              <w:rFonts w:eastAsiaTheme="minorEastAsia"/>
              <w:noProof/>
              <w:sz w:val="22"/>
              <w:szCs w:val="22"/>
              <w:lang w:val="en-US"/>
            </w:rPr>
          </w:pPr>
          <w:hyperlink w:history="1" w:anchor="_Toc216938697">
            <w:r w:rsidRPr="00FA55D4">
              <w:rPr>
                <w:rStyle w:val="Hyperlink"/>
                <w:noProof/>
                <w:sz w:val="22"/>
                <w:szCs w:val="22"/>
              </w:rPr>
              <w:t>3.</w:t>
            </w:r>
            <w:r w:rsidRPr="00FA55D4">
              <w:rPr>
                <w:rFonts w:eastAsiaTheme="minorEastAsia"/>
                <w:noProof/>
                <w:sz w:val="22"/>
                <w:szCs w:val="22"/>
                <w:lang w:val="en-US"/>
              </w:rPr>
              <w:tab/>
            </w:r>
            <w:r w:rsidRPr="00FA55D4">
              <w:rPr>
                <w:rStyle w:val="Hyperlink"/>
                <w:noProof/>
                <w:sz w:val="22"/>
                <w:szCs w:val="22"/>
              </w:rPr>
              <w:t>Efectos sobre la aplicación de instrumentos</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_Toc216938697 \h </w:instrText>
            </w:r>
            <w:r w:rsidRPr="00FA55D4">
              <w:rPr>
                <w:noProof/>
                <w:webHidden/>
                <w:sz w:val="22"/>
                <w:szCs w:val="22"/>
              </w:rPr>
            </w:r>
            <w:r w:rsidRPr="00FA55D4">
              <w:rPr>
                <w:noProof/>
                <w:webHidden/>
                <w:sz w:val="22"/>
                <w:szCs w:val="22"/>
              </w:rPr>
              <w:fldChar w:fldCharType="separate"/>
            </w:r>
            <w:r w:rsidRPr="00FA55D4">
              <w:rPr>
                <w:noProof/>
                <w:webHidden/>
                <w:sz w:val="22"/>
                <w:szCs w:val="22"/>
              </w:rPr>
              <w:t>5</w:t>
            </w:r>
            <w:r w:rsidRPr="00FA55D4">
              <w:rPr>
                <w:noProof/>
                <w:webHidden/>
                <w:sz w:val="22"/>
                <w:szCs w:val="22"/>
              </w:rPr>
              <w:fldChar w:fldCharType="end"/>
            </w:r>
          </w:hyperlink>
        </w:p>
        <w:p w:rsidRPr="00FA55D4" w:rsidR="00FA55D4" w:rsidRDefault="00FA55D4" w14:paraId="23021843" w14:textId="3EF10EA2">
          <w:pPr>
            <w:pStyle w:val="TOC2"/>
            <w:tabs>
              <w:tab w:val="left" w:pos="720"/>
              <w:tab w:val="right" w:leader="dot" w:pos="9350"/>
            </w:tabs>
            <w:rPr>
              <w:rFonts w:eastAsiaTheme="minorEastAsia"/>
              <w:noProof/>
              <w:sz w:val="22"/>
              <w:szCs w:val="22"/>
              <w:lang w:val="en-US"/>
            </w:rPr>
          </w:pPr>
          <w:hyperlink w:history="1" w:anchor="_Toc216938698">
            <w:r w:rsidRPr="00FA55D4">
              <w:rPr>
                <w:rStyle w:val="Hyperlink"/>
                <w:noProof/>
                <w:sz w:val="22"/>
                <w:szCs w:val="22"/>
              </w:rPr>
              <w:t>a.</w:t>
            </w:r>
            <w:r w:rsidRPr="00FA55D4">
              <w:rPr>
                <w:rFonts w:eastAsiaTheme="minorEastAsia"/>
                <w:noProof/>
                <w:sz w:val="22"/>
                <w:szCs w:val="22"/>
                <w:lang w:val="en-US"/>
              </w:rPr>
              <w:tab/>
            </w:r>
            <w:r w:rsidRPr="00FA55D4">
              <w:rPr>
                <w:rStyle w:val="Hyperlink"/>
                <w:noProof/>
                <w:sz w:val="22"/>
                <w:szCs w:val="22"/>
              </w:rPr>
              <w:t>Efectos sobre los instrumentos de ordenamiento territorial (POT y POMCA)</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_Toc216938698 \h </w:instrText>
            </w:r>
            <w:r w:rsidRPr="00FA55D4">
              <w:rPr>
                <w:noProof/>
                <w:webHidden/>
                <w:sz w:val="22"/>
                <w:szCs w:val="22"/>
              </w:rPr>
            </w:r>
            <w:r w:rsidRPr="00FA55D4">
              <w:rPr>
                <w:noProof/>
                <w:webHidden/>
                <w:sz w:val="22"/>
                <w:szCs w:val="22"/>
              </w:rPr>
              <w:fldChar w:fldCharType="separate"/>
            </w:r>
            <w:r w:rsidRPr="00FA55D4">
              <w:rPr>
                <w:noProof/>
                <w:webHidden/>
                <w:sz w:val="22"/>
                <w:szCs w:val="22"/>
              </w:rPr>
              <w:t>7</w:t>
            </w:r>
            <w:r w:rsidRPr="00FA55D4">
              <w:rPr>
                <w:noProof/>
                <w:webHidden/>
                <w:sz w:val="22"/>
                <w:szCs w:val="22"/>
              </w:rPr>
              <w:fldChar w:fldCharType="end"/>
            </w:r>
          </w:hyperlink>
        </w:p>
        <w:p w:rsidRPr="00FA55D4" w:rsidR="00FA55D4" w:rsidRDefault="00FA55D4" w14:paraId="22697465" w14:textId="4DD3036C">
          <w:pPr>
            <w:pStyle w:val="TOC2"/>
            <w:tabs>
              <w:tab w:val="left" w:pos="720"/>
              <w:tab w:val="right" w:leader="dot" w:pos="9350"/>
            </w:tabs>
            <w:rPr>
              <w:rFonts w:eastAsiaTheme="minorEastAsia"/>
              <w:noProof/>
              <w:sz w:val="22"/>
              <w:szCs w:val="22"/>
              <w:lang w:val="en-US"/>
            </w:rPr>
          </w:pPr>
          <w:hyperlink w:history="1" w:anchor="_Toc216938699">
            <w:r w:rsidRPr="00FA55D4">
              <w:rPr>
                <w:rStyle w:val="Hyperlink"/>
                <w:noProof/>
                <w:sz w:val="22"/>
                <w:szCs w:val="22"/>
              </w:rPr>
              <w:t>b.</w:t>
            </w:r>
            <w:r w:rsidRPr="00FA55D4">
              <w:rPr>
                <w:rFonts w:eastAsiaTheme="minorEastAsia"/>
                <w:noProof/>
                <w:sz w:val="22"/>
                <w:szCs w:val="22"/>
                <w:lang w:val="en-US"/>
              </w:rPr>
              <w:tab/>
            </w:r>
            <w:r w:rsidRPr="00FA55D4">
              <w:rPr>
                <w:rStyle w:val="Hyperlink"/>
                <w:noProof/>
                <w:sz w:val="22"/>
                <w:szCs w:val="22"/>
              </w:rPr>
              <w:t>Efectos sobre los instrumentos para la gestión de servicios públicos</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_Toc216938699 \h </w:instrText>
            </w:r>
            <w:r w:rsidRPr="00FA55D4">
              <w:rPr>
                <w:noProof/>
                <w:webHidden/>
                <w:sz w:val="22"/>
                <w:szCs w:val="22"/>
              </w:rPr>
            </w:r>
            <w:r w:rsidRPr="00FA55D4">
              <w:rPr>
                <w:noProof/>
                <w:webHidden/>
                <w:sz w:val="22"/>
                <w:szCs w:val="22"/>
              </w:rPr>
              <w:fldChar w:fldCharType="separate"/>
            </w:r>
            <w:r w:rsidRPr="00FA55D4">
              <w:rPr>
                <w:noProof/>
                <w:webHidden/>
                <w:sz w:val="22"/>
                <w:szCs w:val="22"/>
              </w:rPr>
              <w:t>8</w:t>
            </w:r>
            <w:r w:rsidRPr="00FA55D4">
              <w:rPr>
                <w:noProof/>
                <w:webHidden/>
                <w:sz w:val="22"/>
                <w:szCs w:val="22"/>
              </w:rPr>
              <w:fldChar w:fldCharType="end"/>
            </w:r>
          </w:hyperlink>
        </w:p>
        <w:p w:rsidRPr="00FA55D4" w:rsidR="00FA55D4" w:rsidRDefault="00FA55D4" w14:paraId="42A3070E" w14:textId="65C1FFF8">
          <w:pPr>
            <w:pStyle w:val="TOC2"/>
            <w:tabs>
              <w:tab w:val="left" w:pos="720"/>
              <w:tab w:val="right" w:leader="dot" w:pos="9350"/>
            </w:tabs>
            <w:rPr>
              <w:rFonts w:eastAsiaTheme="minorEastAsia"/>
              <w:noProof/>
              <w:sz w:val="22"/>
              <w:szCs w:val="22"/>
              <w:lang w:val="en-US"/>
            </w:rPr>
          </w:pPr>
          <w:hyperlink w:history="1" w:anchor="_Toc216938700">
            <w:r w:rsidRPr="00FA55D4">
              <w:rPr>
                <w:rStyle w:val="Hyperlink"/>
                <w:noProof/>
                <w:sz w:val="22"/>
                <w:szCs w:val="22"/>
              </w:rPr>
              <w:t>c.</w:t>
            </w:r>
            <w:r w:rsidRPr="00FA55D4">
              <w:rPr>
                <w:rFonts w:eastAsiaTheme="minorEastAsia"/>
                <w:noProof/>
                <w:sz w:val="22"/>
                <w:szCs w:val="22"/>
                <w:lang w:val="en-US"/>
              </w:rPr>
              <w:tab/>
            </w:r>
            <w:r w:rsidRPr="00FA55D4">
              <w:rPr>
                <w:rStyle w:val="Hyperlink"/>
                <w:noProof/>
                <w:sz w:val="22"/>
                <w:szCs w:val="22"/>
              </w:rPr>
              <w:t>Efectos sobre los instrumentos de manejo ambiental</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_Toc216938700 \h </w:instrText>
            </w:r>
            <w:r w:rsidRPr="00FA55D4">
              <w:rPr>
                <w:noProof/>
                <w:webHidden/>
                <w:sz w:val="22"/>
                <w:szCs w:val="22"/>
              </w:rPr>
            </w:r>
            <w:r w:rsidRPr="00FA55D4">
              <w:rPr>
                <w:noProof/>
                <w:webHidden/>
                <w:sz w:val="22"/>
                <w:szCs w:val="22"/>
              </w:rPr>
              <w:fldChar w:fldCharType="separate"/>
            </w:r>
            <w:r w:rsidRPr="00FA55D4">
              <w:rPr>
                <w:noProof/>
                <w:webHidden/>
                <w:sz w:val="22"/>
                <w:szCs w:val="22"/>
              </w:rPr>
              <w:t>9</w:t>
            </w:r>
            <w:r w:rsidRPr="00FA55D4">
              <w:rPr>
                <w:noProof/>
                <w:webHidden/>
                <w:sz w:val="22"/>
                <w:szCs w:val="22"/>
              </w:rPr>
              <w:fldChar w:fldCharType="end"/>
            </w:r>
          </w:hyperlink>
        </w:p>
        <w:p w:rsidRPr="00FA55D4" w:rsidR="00FA55D4" w:rsidRDefault="00FA55D4" w14:paraId="03527F0E" w14:textId="496A6499">
          <w:pPr>
            <w:pStyle w:val="TOC2"/>
            <w:tabs>
              <w:tab w:val="left" w:pos="720"/>
              <w:tab w:val="right" w:leader="dot" w:pos="9350"/>
            </w:tabs>
            <w:rPr>
              <w:rFonts w:eastAsiaTheme="minorEastAsia"/>
              <w:noProof/>
              <w:sz w:val="22"/>
              <w:szCs w:val="22"/>
              <w:lang w:val="en-US"/>
            </w:rPr>
          </w:pPr>
          <w:hyperlink w:history="1" w:anchor="_Toc216938701">
            <w:r w:rsidRPr="00FA55D4">
              <w:rPr>
                <w:rStyle w:val="Hyperlink"/>
                <w:noProof/>
                <w:sz w:val="22"/>
                <w:szCs w:val="22"/>
              </w:rPr>
              <w:t>d.</w:t>
            </w:r>
            <w:r w:rsidRPr="00FA55D4">
              <w:rPr>
                <w:rFonts w:eastAsiaTheme="minorEastAsia"/>
                <w:noProof/>
                <w:sz w:val="22"/>
                <w:szCs w:val="22"/>
                <w:lang w:val="en-US"/>
              </w:rPr>
              <w:tab/>
            </w:r>
            <w:r w:rsidRPr="00FA55D4">
              <w:rPr>
                <w:rStyle w:val="Hyperlink"/>
                <w:noProof/>
                <w:sz w:val="22"/>
                <w:szCs w:val="22"/>
              </w:rPr>
              <w:t>Efectos sobre los instrumentos minero-ambientales</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_Toc216938701 \h </w:instrText>
            </w:r>
            <w:r w:rsidRPr="00FA55D4">
              <w:rPr>
                <w:noProof/>
                <w:webHidden/>
                <w:sz w:val="22"/>
                <w:szCs w:val="22"/>
              </w:rPr>
            </w:r>
            <w:r w:rsidRPr="00FA55D4">
              <w:rPr>
                <w:noProof/>
                <w:webHidden/>
                <w:sz w:val="22"/>
                <w:szCs w:val="22"/>
              </w:rPr>
              <w:fldChar w:fldCharType="separate"/>
            </w:r>
            <w:r w:rsidRPr="00FA55D4">
              <w:rPr>
                <w:noProof/>
                <w:webHidden/>
                <w:sz w:val="22"/>
                <w:szCs w:val="22"/>
              </w:rPr>
              <w:t>9</w:t>
            </w:r>
            <w:r w:rsidRPr="00FA55D4">
              <w:rPr>
                <w:noProof/>
                <w:webHidden/>
                <w:sz w:val="22"/>
                <w:szCs w:val="22"/>
              </w:rPr>
              <w:fldChar w:fldCharType="end"/>
            </w:r>
          </w:hyperlink>
        </w:p>
        <w:p w:rsidRPr="00FA55D4" w:rsidR="00FA55D4" w:rsidRDefault="00FA55D4" w14:paraId="0EE0DCD5" w14:textId="139E08ED">
          <w:pPr>
            <w:pStyle w:val="TOC2"/>
            <w:tabs>
              <w:tab w:val="left" w:pos="720"/>
              <w:tab w:val="right" w:leader="dot" w:pos="9350"/>
            </w:tabs>
            <w:rPr>
              <w:rFonts w:eastAsiaTheme="minorEastAsia"/>
              <w:noProof/>
              <w:sz w:val="22"/>
              <w:szCs w:val="22"/>
              <w:lang w:val="en-US"/>
            </w:rPr>
          </w:pPr>
          <w:hyperlink w:history="1" w:anchor="_Toc216938702">
            <w:r w:rsidRPr="00FA55D4">
              <w:rPr>
                <w:rStyle w:val="Hyperlink"/>
                <w:noProof/>
                <w:sz w:val="22"/>
                <w:szCs w:val="22"/>
              </w:rPr>
              <w:t>e.</w:t>
            </w:r>
            <w:r w:rsidRPr="00FA55D4">
              <w:rPr>
                <w:rFonts w:eastAsiaTheme="minorEastAsia"/>
                <w:noProof/>
                <w:sz w:val="22"/>
                <w:szCs w:val="22"/>
                <w:lang w:val="en-US"/>
              </w:rPr>
              <w:tab/>
            </w:r>
            <w:r w:rsidRPr="00FA55D4">
              <w:rPr>
                <w:rStyle w:val="Hyperlink"/>
                <w:noProof/>
                <w:sz w:val="22"/>
                <w:szCs w:val="22"/>
              </w:rPr>
              <w:t>Efectos sobre los instrumentos de financiación</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_Toc216938702 \h </w:instrText>
            </w:r>
            <w:r w:rsidRPr="00FA55D4">
              <w:rPr>
                <w:noProof/>
                <w:webHidden/>
                <w:sz w:val="22"/>
                <w:szCs w:val="22"/>
              </w:rPr>
            </w:r>
            <w:r w:rsidRPr="00FA55D4">
              <w:rPr>
                <w:noProof/>
                <w:webHidden/>
                <w:sz w:val="22"/>
                <w:szCs w:val="22"/>
              </w:rPr>
              <w:fldChar w:fldCharType="separate"/>
            </w:r>
            <w:r w:rsidRPr="00FA55D4">
              <w:rPr>
                <w:noProof/>
                <w:webHidden/>
                <w:sz w:val="22"/>
                <w:szCs w:val="22"/>
              </w:rPr>
              <w:t>10</w:t>
            </w:r>
            <w:r w:rsidRPr="00FA55D4">
              <w:rPr>
                <w:noProof/>
                <w:webHidden/>
                <w:sz w:val="22"/>
                <w:szCs w:val="22"/>
              </w:rPr>
              <w:fldChar w:fldCharType="end"/>
            </w:r>
          </w:hyperlink>
        </w:p>
        <w:p w:rsidRPr="00FA55D4" w:rsidR="00FA55D4" w:rsidRDefault="00FA55D4" w14:paraId="63849951" w14:textId="2FE10FA9">
          <w:pPr>
            <w:pStyle w:val="TOC2"/>
            <w:tabs>
              <w:tab w:val="left" w:pos="720"/>
              <w:tab w:val="right" w:leader="dot" w:pos="9350"/>
            </w:tabs>
            <w:rPr>
              <w:rFonts w:eastAsiaTheme="minorEastAsia"/>
              <w:noProof/>
              <w:sz w:val="22"/>
              <w:szCs w:val="22"/>
              <w:lang w:val="en-US"/>
            </w:rPr>
          </w:pPr>
          <w:hyperlink w:history="1" w:anchor="_Toc216938703">
            <w:r w:rsidRPr="00FA55D4">
              <w:rPr>
                <w:rStyle w:val="Hyperlink"/>
                <w:noProof/>
                <w:sz w:val="22"/>
                <w:szCs w:val="22"/>
              </w:rPr>
              <w:t>4.</w:t>
            </w:r>
            <w:r w:rsidRPr="00FA55D4">
              <w:rPr>
                <w:rFonts w:eastAsiaTheme="minorEastAsia"/>
                <w:noProof/>
                <w:sz w:val="22"/>
                <w:szCs w:val="22"/>
                <w:lang w:val="en-US"/>
              </w:rPr>
              <w:tab/>
            </w:r>
            <w:r w:rsidRPr="00FA55D4">
              <w:rPr>
                <w:rStyle w:val="Hyperlink"/>
                <w:noProof/>
                <w:sz w:val="22"/>
                <w:szCs w:val="22"/>
              </w:rPr>
              <w:t>Efectos sobre la adecuada identificación de las variables del territorio</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_Toc216938703 \h </w:instrText>
            </w:r>
            <w:r w:rsidRPr="00FA55D4">
              <w:rPr>
                <w:noProof/>
                <w:webHidden/>
                <w:sz w:val="22"/>
                <w:szCs w:val="22"/>
              </w:rPr>
            </w:r>
            <w:r w:rsidRPr="00FA55D4">
              <w:rPr>
                <w:noProof/>
                <w:webHidden/>
                <w:sz w:val="22"/>
                <w:szCs w:val="22"/>
              </w:rPr>
              <w:fldChar w:fldCharType="separate"/>
            </w:r>
            <w:r w:rsidRPr="00FA55D4">
              <w:rPr>
                <w:noProof/>
                <w:webHidden/>
                <w:sz w:val="22"/>
                <w:szCs w:val="22"/>
              </w:rPr>
              <w:t>13</w:t>
            </w:r>
            <w:r w:rsidRPr="00FA55D4">
              <w:rPr>
                <w:noProof/>
                <w:webHidden/>
                <w:sz w:val="22"/>
                <w:szCs w:val="22"/>
              </w:rPr>
              <w:fldChar w:fldCharType="end"/>
            </w:r>
          </w:hyperlink>
        </w:p>
        <w:p w:rsidRPr="00FA55D4" w:rsidR="00FA55D4" w:rsidRDefault="00FA55D4" w14:paraId="70FAA345" w14:textId="118CC4F1">
          <w:pPr>
            <w:pStyle w:val="TOC2"/>
            <w:tabs>
              <w:tab w:val="right" w:leader="dot" w:pos="9350"/>
            </w:tabs>
            <w:rPr>
              <w:rFonts w:eastAsiaTheme="minorEastAsia"/>
              <w:noProof/>
              <w:sz w:val="22"/>
              <w:szCs w:val="22"/>
              <w:lang w:val="en-US"/>
            </w:rPr>
          </w:pPr>
          <w:hyperlink w:history="1" w:anchor="_Toc216938704">
            <w:r w:rsidRPr="00FA55D4">
              <w:rPr>
                <w:rStyle w:val="Hyperlink"/>
                <w:noProof/>
                <w:sz w:val="22"/>
                <w:szCs w:val="22"/>
              </w:rPr>
              <w:t>Bibliografía</w:t>
            </w:r>
            <w:r w:rsidRPr="00FA55D4">
              <w:rPr>
                <w:noProof/>
                <w:webHidden/>
                <w:sz w:val="22"/>
                <w:szCs w:val="22"/>
              </w:rPr>
              <w:tab/>
            </w:r>
            <w:r w:rsidRPr="00FA55D4">
              <w:rPr>
                <w:noProof/>
                <w:webHidden/>
                <w:sz w:val="22"/>
                <w:szCs w:val="22"/>
              </w:rPr>
              <w:fldChar w:fldCharType="begin"/>
            </w:r>
            <w:r w:rsidRPr="00FA55D4">
              <w:rPr>
                <w:noProof/>
                <w:webHidden/>
                <w:sz w:val="22"/>
                <w:szCs w:val="22"/>
              </w:rPr>
              <w:instrText xml:space="preserve"> PAGEREF _Toc216938704 \h </w:instrText>
            </w:r>
            <w:r w:rsidRPr="00FA55D4">
              <w:rPr>
                <w:noProof/>
                <w:webHidden/>
                <w:sz w:val="22"/>
                <w:szCs w:val="22"/>
              </w:rPr>
            </w:r>
            <w:r w:rsidRPr="00FA55D4">
              <w:rPr>
                <w:noProof/>
                <w:webHidden/>
                <w:sz w:val="22"/>
                <w:szCs w:val="22"/>
              </w:rPr>
              <w:fldChar w:fldCharType="separate"/>
            </w:r>
            <w:r w:rsidRPr="00FA55D4">
              <w:rPr>
                <w:noProof/>
                <w:webHidden/>
                <w:sz w:val="22"/>
                <w:szCs w:val="22"/>
              </w:rPr>
              <w:t>37</w:t>
            </w:r>
            <w:r w:rsidRPr="00FA55D4">
              <w:rPr>
                <w:noProof/>
                <w:webHidden/>
                <w:sz w:val="22"/>
                <w:szCs w:val="22"/>
              </w:rPr>
              <w:fldChar w:fldCharType="end"/>
            </w:r>
          </w:hyperlink>
        </w:p>
        <w:p w:rsidR="004B020A" w:rsidRDefault="004B020A" w14:paraId="29BB12FE" w14:textId="5A568F04">
          <w:r w:rsidRPr="00FA55D4">
            <w:rPr>
              <w:b/>
              <w:bCs/>
              <w:noProof/>
              <w:sz w:val="22"/>
              <w:szCs w:val="22"/>
            </w:rPr>
            <w:fldChar w:fldCharType="end"/>
          </w:r>
        </w:p>
      </w:sdtContent>
    </w:sdt>
    <w:p w:rsidR="000B49EC" w:rsidP="000B49EC" w:rsidRDefault="000B49EC" w14:paraId="17FF84A7" w14:textId="77777777"/>
    <w:p w:rsidR="00B817E3" w:rsidP="000B49EC" w:rsidRDefault="00B817E3" w14:paraId="220C1035" w14:textId="77777777"/>
    <w:p w:rsidR="00B817E3" w:rsidP="000B49EC" w:rsidRDefault="00B817E3" w14:paraId="17F51CD4" w14:textId="77777777"/>
    <w:p w:rsidR="00B817E3" w:rsidP="000B49EC" w:rsidRDefault="00B817E3" w14:paraId="3FA32B83" w14:textId="77777777"/>
    <w:p w:rsidR="00B817E3" w:rsidP="000B49EC" w:rsidRDefault="00B817E3" w14:paraId="49CB8DDC" w14:textId="77777777"/>
    <w:p w:rsidR="00B817E3" w:rsidP="000B49EC" w:rsidRDefault="00B817E3" w14:paraId="31A03972" w14:textId="77777777"/>
    <w:p w:rsidR="00B817E3" w:rsidP="000B49EC" w:rsidRDefault="00B817E3" w14:paraId="2CC57522" w14:textId="77777777"/>
    <w:p w:rsidR="00B817E3" w:rsidP="000B49EC" w:rsidRDefault="00B817E3" w14:paraId="52DAFCE3" w14:textId="77777777"/>
    <w:p w:rsidR="00B817E3" w:rsidP="000B49EC" w:rsidRDefault="00B817E3" w14:paraId="2FC9B018" w14:textId="77777777"/>
    <w:p w:rsidR="00B817E3" w:rsidP="000B49EC" w:rsidRDefault="00B817E3" w14:paraId="1A227E5A" w14:textId="77777777"/>
    <w:p w:rsidR="00B817E3" w:rsidP="000B49EC" w:rsidRDefault="00B817E3" w14:paraId="57ABE6CE" w14:textId="77777777"/>
    <w:p w:rsidRPr="00B817E3" w:rsidR="00B817E3" w:rsidP="000B49EC" w:rsidRDefault="00B817E3" w14:paraId="791D4DB7" w14:textId="6760DFAB">
      <w:pPr>
        <w:rPr>
          <w:rFonts w:asciiTheme="majorHAnsi" w:hAnsiTheme="majorHAnsi" w:eastAsiaTheme="majorEastAsia" w:cstheme="majorBidi"/>
          <w:color w:val="0F4761" w:themeColor="accent1" w:themeShade="BF"/>
          <w:sz w:val="32"/>
          <w:szCs w:val="32"/>
        </w:rPr>
      </w:pPr>
      <w:r w:rsidRPr="00B817E3">
        <w:rPr>
          <w:rFonts w:asciiTheme="majorHAnsi" w:hAnsiTheme="majorHAnsi" w:eastAsiaTheme="majorEastAsia" w:cstheme="majorBidi"/>
          <w:color w:val="0F4761" w:themeColor="accent1" w:themeShade="BF"/>
          <w:sz w:val="32"/>
          <w:szCs w:val="32"/>
        </w:rPr>
        <w:t>Introducción</w:t>
      </w:r>
    </w:p>
    <w:p w:rsidRPr="00D11C96" w:rsidR="00A604D4" w:rsidP="00A1785B" w:rsidRDefault="00213784" w14:paraId="26C35BF9" w14:textId="37C70AF8">
      <w:pPr>
        <w:jc w:val="both"/>
        <w:rPr>
          <w:rFonts w:ascii="Garamond" w:hAnsi="Garamond"/>
          <w:sz w:val="22"/>
          <w:szCs w:val="22"/>
        </w:rPr>
      </w:pPr>
      <w:r w:rsidRPr="00D11C96">
        <w:rPr>
          <w:rFonts w:ascii="Garamond" w:hAnsi="Garamond"/>
          <w:sz w:val="22"/>
          <w:szCs w:val="22"/>
        </w:rPr>
        <w:t xml:space="preserve">La presente iniciativa normativa no tiene impactos económicos adicionales en la gestión que ejecutan las autoridades ambientales, los entes territoriales y el Ministerio de Ambiente y Desarrollo Sostenible en materia ambiental, ya que los lineamientos se encuentran enfocados en acciones que estas entidades realizan o desarrollan dentro de su misionalidad, de manera tal que su implementación no implica gastos adicionales o esfuerzos no contemplados para su gestión. Sin embargo, la resolución tiene impactos positivos en función de costos evitados por pérdida de biodiversidad y sus servicios ecosistémicos que se reflejan en diferentes sectores económicos, como se detalla a continuación. </w:t>
      </w:r>
    </w:p>
    <w:p w:rsidRPr="00D11C96" w:rsidR="005E6B22" w:rsidP="00FF796F" w:rsidRDefault="005E6B22" w14:paraId="1C42D5D4" w14:textId="07620AE6">
      <w:pPr>
        <w:pStyle w:val="Heading2"/>
        <w:numPr>
          <w:ilvl w:val="0"/>
          <w:numId w:val="10"/>
        </w:numPr>
      </w:pPr>
      <w:bookmarkStart w:name="_Toc216938695" w:id="2"/>
      <w:r w:rsidRPr="00D11C96">
        <w:t>Efectos sobre los nuevos usos del suelo.</w:t>
      </w:r>
      <w:bookmarkEnd w:id="2"/>
    </w:p>
    <w:p w:rsidRPr="00D11C96" w:rsidR="000C5FBC" w:rsidP="000C5FBC" w:rsidRDefault="000C5FBC" w14:paraId="6B3104EC" w14:textId="1132AB47">
      <w:pPr>
        <w:jc w:val="both"/>
        <w:rPr>
          <w:rFonts w:ascii="Garamond" w:hAnsi="Garamond"/>
          <w:sz w:val="22"/>
          <w:szCs w:val="22"/>
        </w:rPr>
      </w:pPr>
      <w:r w:rsidRPr="00D11C96">
        <w:rPr>
          <w:rFonts w:ascii="Garamond" w:hAnsi="Garamond"/>
          <w:sz w:val="22"/>
          <w:szCs w:val="22"/>
        </w:rPr>
        <w:t>Los impactos relacionados a la definición de nuevos usos del suelo en la Sabana de Bogotá se encuentran profundamente condicionada por el marco jurídico vigente, las órdenes de la Sentencia del Río Bogotá y las directrices propuestas en la resolución que reglamenta las actuaciones públicas y privadas en la Sabana de Bogotá.</w:t>
      </w:r>
    </w:p>
    <w:p w:rsidRPr="00D11C96" w:rsidR="000C5FBC" w:rsidP="000C5FBC" w:rsidRDefault="000C5FBC" w14:paraId="2E06FA34" w14:textId="3F5E1569">
      <w:pPr>
        <w:jc w:val="both"/>
        <w:rPr>
          <w:rFonts w:ascii="Garamond" w:hAnsi="Garamond"/>
          <w:sz w:val="22"/>
          <w:szCs w:val="22"/>
        </w:rPr>
      </w:pPr>
      <w:r w:rsidRPr="00D11C96">
        <w:rPr>
          <w:rFonts w:ascii="Garamond" w:hAnsi="Garamond"/>
          <w:sz w:val="22"/>
          <w:szCs w:val="22"/>
        </w:rPr>
        <w:t>En este contexto, los efectos sobre los nuevos usos del suelo no solo responden a una dinámica de planificación urbana y regional, sino también a la necesidad de garantizar la integridad ecológica, el equilibrio ecológico, la seguridad jurídica y la coherencia territorial entre los distintos instrumentos de ordenamiento. En ese sentido, las directrices aportan impactos positivos orientados a fortalecer la compatibilidad entre la ocupación del territorio y la protección de sus ecosistemas.</w:t>
      </w:r>
    </w:p>
    <w:p w:rsidRPr="00D11C96" w:rsidR="000C5FBC" w:rsidP="000C5FBC" w:rsidRDefault="000C5FBC" w14:paraId="127445D8" w14:textId="77777777">
      <w:pPr>
        <w:jc w:val="both"/>
        <w:rPr>
          <w:rFonts w:ascii="Garamond" w:hAnsi="Garamond"/>
          <w:sz w:val="22"/>
          <w:szCs w:val="22"/>
        </w:rPr>
      </w:pPr>
      <w:r w:rsidRPr="00D11C96">
        <w:rPr>
          <w:rFonts w:ascii="Garamond" w:hAnsi="Garamond"/>
          <w:sz w:val="22"/>
          <w:szCs w:val="22"/>
        </w:rPr>
        <w:t xml:space="preserve">En primer lugar, la consideración de los </w:t>
      </w:r>
      <w:r w:rsidRPr="00D11C96">
        <w:rPr>
          <w:rFonts w:ascii="Garamond" w:hAnsi="Garamond"/>
          <w:b/>
          <w:bCs/>
          <w:sz w:val="22"/>
          <w:szCs w:val="22"/>
        </w:rPr>
        <w:t>Planes de Ordenamiento Territorial como situaciones jurídicas consolidadas</w:t>
      </w:r>
      <w:r w:rsidRPr="00D11C96">
        <w:rPr>
          <w:rFonts w:ascii="Garamond" w:hAnsi="Garamond"/>
          <w:sz w:val="22"/>
          <w:szCs w:val="22"/>
        </w:rPr>
        <w:t xml:space="preserve"> constituye un elemento fundamental para comprender los efectos sobre los nuevos usos del suelo. Esta determinación, asociada al </w:t>
      </w:r>
      <w:r w:rsidRPr="00D11C96">
        <w:rPr>
          <w:rFonts w:ascii="Garamond" w:hAnsi="Garamond"/>
          <w:i/>
          <w:iCs/>
          <w:sz w:val="22"/>
          <w:szCs w:val="22"/>
        </w:rPr>
        <w:t>Artículo 30 de la propuesta de resolución</w:t>
      </w:r>
      <w:r w:rsidRPr="00D11C96">
        <w:rPr>
          <w:rFonts w:ascii="Garamond" w:hAnsi="Garamond"/>
          <w:sz w:val="22"/>
          <w:szCs w:val="22"/>
        </w:rPr>
        <w:t xml:space="preserve">, reconoce que los POT vigentes mantienen validez jurídica y deben ser respetados en tanto no contravengan las normas superiores ni los objetivos ambientales de la Sabana. A su vez, se articula con la </w:t>
      </w:r>
      <w:r w:rsidRPr="00D11C96">
        <w:rPr>
          <w:rFonts w:ascii="Garamond" w:hAnsi="Garamond"/>
          <w:b/>
          <w:bCs/>
          <w:sz w:val="22"/>
          <w:szCs w:val="22"/>
        </w:rPr>
        <w:t>Orden 4.18 de la Sentencia</w:t>
      </w:r>
      <w:r w:rsidRPr="00D11C96">
        <w:rPr>
          <w:rFonts w:ascii="Garamond" w:hAnsi="Garamond"/>
          <w:sz w:val="22"/>
          <w:szCs w:val="22"/>
        </w:rPr>
        <w:t xml:space="preserve">, que obliga al Distrito Capital y a los municipios de la cuenca a armonizar sus instrumentos de planificación con el Plan de Ordenación y Manejo de la Cuenca (POMCA). </w:t>
      </w:r>
    </w:p>
    <w:p w:rsidRPr="00D11C96" w:rsidR="000C5FBC" w:rsidP="00C618B0" w:rsidRDefault="000C5FBC" w14:paraId="5CB96366" w14:textId="36A16FA7">
      <w:pPr>
        <w:jc w:val="both"/>
        <w:rPr>
          <w:rFonts w:ascii="Garamond" w:hAnsi="Garamond"/>
          <w:sz w:val="22"/>
          <w:szCs w:val="22"/>
        </w:rPr>
      </w:pPr>
      <w:r w:rsidRPr="00D11C96">
        <w:rPr>
          <w:rFonts w:ascii="Garamond" w:hAnsi="Garamond"/>
          <w:sz w:val="22"/>
          <w:szCs w:val="22"/>
        </w:rPr>
        <w:t>Esto implica que los usos del suelo continúan siendo definidos por los entes territoriales, pero que, para el caso de aquellos instrumentos ambientalmente no concertados, se introduzcan determinaciones en función de la restauración ecológica del territorio. El efecto positivo para la Sabana radica en que esta articulación normativa impide la expansión desordenada</w:t>
      </w:r>
      <w:r w:rsidRPr="00D11C96" w:rsidR="00C618B0">
        <w:rPr>
          <w:rFonts w:ascii="Garamond" w:hAnsi="Garamond"/>
          <w:sz w:val="22"/>
          <w:szCs w:val="22"/>
        </w:rPr>
        <w:t xml:space="preserve">, desacelerando la tendencia de artificialización, la cual para el año 2018, se alcanzó un total de 21.786 ha + 188 m2 en la Sabana de Bogotá, incluyendo territorios agrícolas, bosques y áreas seminaturales, áreas húmedas y superficies </w:t>
      </w:r>
      <w:proofErr w:type="spellStart"/>
      <w:r w:rsidRPr="00D11C96" w:rsidR="00C618B0">
        <w:rPr>
          <w:rFonts w:ascii="Garamond" w:hAnsi="Garamond"/>
          <w:sz w:val="22"/>
          <w:szCs w:val="22"/>
        </w:rPr>
        <w:t>deagua</w:t>
      </w:r>
      <w:proofErr w:type="spellEnd"/>
    </w:p>
    <w:p w:rsidRPr="00D11C96" w:rsidR="000C5FBC" w:rsidP="000C5FBC" w:rsidRDefault="000C5FBC" w14:paraId="4F2716F9" w14:textId="0CBA8A91">
      <w:pPr>
        <w:jc w:val="both"/>
        <w:rPr>
          <w:rFonts w:ascii="Garamond" w:hAnsi="Garamond"/>
          <w:sz w:val="22"/>
          <w:szCs w:val="22"/>
        </w:rPr>
      </w:pPr>
      <w:r w:rsidRPr="00D11C96">
        <w:rPr>
          <w:rFonts w:ascii="Garamond" w:hAnsi="Garamond"/>
          <w:sz w:val="22"/>
          <w:szCs w:val="22"/>
        </w:rPr>
        <w:t xml:space="preserve">Lo anterior, en cumplimiento de la </w:t>
      </w:r>
      <w:r w:rsidRPr="00D11C96">
        <w:rPr>
          <w:rFonts w:ascii="Garamond" w:hAnsi="Garamond"/>
          <w:b/>
          <w:bCs/>
          <w:sz w:val="22"/>
          <w:szCs w:val="22"/>
        </w:rPr>
        <w:t>Orden 4.14</w:t>
      </w:r>
      <w:r w:rsidRPr="00D11C96">
        <w:rPr>
          <w:rFonts w:ascii="Garamond" w:hAnsi="Garamond"/>
          <w:sz w:val="22"/>
          <w:szCs w:val="22"/>
        </w:rPr>
        <w:t xml:space="preserve">, que exige precisar los límites de la estructura ecológica principal y delimitar las áreas protegidas, estos instrumentos consolidan un marco territorial que favorece la protección de suelos de especial importancia ambiental. Esta obligación se relaciona directamente con el </w:t>
      </w:r>
      <w:r w:rsidRPr="00D11C96">
        <w:rPr>
          <w:rFonts w:ascii="Garamond" w:hAnsi="Garamond"/>
          <w:i/>
          <w:iCs/>
          <w:sz w:val="22"/>
          <w:szCs w:val="22"/>
        </w:rPr>
        <w:t>Artículo 3 de la propuesta de resolución</w:t>
      </w:r>
      <w:r w:rsidRPr="00D11C96">
        <w:rPr>
          <w:rFonts w:ascii="Garamond" w:hAnsi="Garamond"/>
          <w:sz w:val="22"/>
          <w:szCs w:val="22"/>
        </w:rPr>
        <w:t xml:space="preserve">, que establece el alcance de las directrices y su carácter obligatorio para todos los actores públicos y privados. Como efecto positivo, esta alineación contribuye a generar un escenario más homogéneo de regulación, donde los municipios ya no actúan de manera aislada, sino dentro de una visión regional que limita la urbanización intensiva, fomenta la preservación de áreas hídricas y estimula usos compatibles con la función ecológica. En consecuencia, el suelo rural estaría más orientado hacia actividades que eviten su </w:t>
      </w:r>
      <w:r w:rsidRPr="00D11C96">
        <w:rPr>
          <w:rFonts w:ascii="Garamond" w:hAnsi="Garamond"/>
          <w:sz w:val="22"/>
          <w:szCs w:val="22"/>
        </w:rPr>
        <w:t>endurecimiento y por el contrario promuevan su conservación y restauración, evitando la fragmentación del territorio y el deterioro de los ecosistemas estratégicos.</w:t>
      </w:r>
    </w:p>
    <w:p w:rsidRPr="00D11C96" w:rsidR="000C5FBC" w:rsidP="000C5FBC" w:rsidRDefault="000C5FBC" w14:paraId="4640B75E" w14:textId="65A1AEDB">
      <w:pPr>
        <w:jc w:val="both"/>
        <w:rPr>
          <w:rFonts w:ascii="Garamond" w:hAnsi="Garamond"/>
          <w:sz w:val="22"/>
          <w:szCs w:val="22"/>
        </w:rPr>
      </w:pPr>
      <w:r w:rsidRPr="00D11C96">
        <w:rPr>
          <w:rFonts w:ascii="Garamond" w:hAnsi="Garamond"/>
          <w:sz w:val="22"/>
          <w:szCs w:val="22"/>
        </w:rPr>
        <w:t xml:space="preserve">Un tercer eje identificado se relaciona con la necesidad de </w:t>
      </w:r>
      <w:r w:rsidRPr="00D11C96">
        <w:rPr>
          <w:rFonts w:ascii="Garamond" w:hAnsi="Garamond"/>
          <w:b/>
          <w:bCs/>
          <w:sz w:val="22"/>
          <w:szCs w:val="22"/>
        </w:rPr>
        <w:t>incorporar en los procesos de formulación, revisión o ajuste de los POT los lineamientos ambientales provenientes del POMCA y del proyecto de resolución, lo anterior, en armonía con</w:t>
      </w:r>
      <w:r w:rsidRPr="00D11C96">
        <w:rPr>
          <w:rFonts w:ascii="Garamond" w:hAnsi="Garamond"/>
          <w:sz w:val="22"/>
          <w:szCs w:val="22"/>
        </w:rPr>
        <w:t xml:space="preserve"> la </w:t>
      </w:r>
      <w:r w:rsidRPr="00D11C96">
        <w:rPr>
          <w:rFonts w:ascii="Garamond" w:hAnsi="Garamond"/>
          <w:b/>
          <w:bCs/>
          <w:sz w:val="22"/>
          <w:szCs w:val="22"/>
        </w:rPr>
        <w:t>Orden 4.23</w:t>
      </w:r>
      <w:r w:rsidRPr="00D11C96">
        <w:rPr>
          <w:rFonts w:ascii="Garamond" w:hAnsi="Garamond"/>
          <w:sz w:val="22"/>
          <w:szCs w:val="22"/>
        </w:rPr>
        <w:t xml:space="preserve">, dirigida a la Corporación Autónoma Regional (CAR) y a los municipios, donde se señala la obligatoriedad de integrar criterios ambientales rigurosos en las decisiones de ordenamiento territorial. </w:t>
      </w:r>
    </w:p>
    <w:p w:rsidRPr="00D11C96" w:rsidR="000C5FBC" w:rsidP="000C5FBC" w:rsidRDefault="000C5FBC" w14:paraId="29A91CE9" w14:textId="31AF0E7E">
      <w:pPr>
        <w:jc w:val="both"/>
        <w:rPr>
          <w:rFonts w:ascii="Garamond" w:hAnsi="Garamond"/>
          <w:sz w:val="22"/>
          <w:szCs w:val="22"/>
        </w:rPr>
      </w:pPr>
      <w:r w:rsidRPr="00D11C96">
        <w:rPr>
          <w:rFonts w:ascii="Garamond" w:hAnsi="Garamond"/>
          <w:sz w:val="22"/>
          <w:szCs w:val="22"/>
        </w:rPr>
        <w:t xml:space="preserve">Este mandato se corresponde con las disposiciones del </w:t>
      </w:r>
      <w:r w:rsidRPr="00D11C96">
        <w:rPr>
          <w:rFonts w:ascii="Garamond" w:hAnsi="Garamond"/>
          <w:i/>
          <w:iCs/>
          <w:sz w:val="22"/>
          <w:szCs w:val="22"/>
        </w:rPr>
        <w:t>Artículo 6</w:t>
      </w:r>
      <w:r w:rsidRPr="00D11C96">
        <w:rPr>
          <w:rFonts w:ascii="Garamond" w:hAnsi="Garamond"/>
          <w:sz w:val="22"/>
          <w:szCs w:val="22"/>
        </w:rPr>
        <w:t>, referido a los ecosistemas de bosques andinos</w:t>
      </w:r>
      <w:r w:rsidRPr="00D11C96" w:rsidR="00D52A0E">
        <w:rPr>
          <w:rFonts w:ascii="Garamond" w:hAnsi="Garamond"/>
          <w:sz w:val="22"/>
          <w:szCs w:val="22"/>
        </w:rPr>
        <w:t xml:space="preserve"> y subxerofitia andina,</w:t>
      </w:r>
      <w:r w:rsidRPr="00D11C96">
        <w:rPr>
          <w:rFonts w:ascii="Garamond" w:hAnsi="Garamond"/>
          <w:sz w:val="22"/>
          <w:szCs w:val="22"/>
        </w:rPr>
        <w:t xml:space="preserve"> los cuales debe</w:t>
      </w:r>
      <w:r w:rsidRPr="00D11C96" w:rsidR="00D52A0E">
        <w:rPr>
          <w:rFonts w:ascii="Garamond" w:hAnsi="Garamond"/>
          <w:sz w:val="22"/>
          <w:szCs w:val="22"/>
        </w:rPr>
        <w:t>rán mantener su integridad ecológica</w:t>
      </w:r>
      <w:r w:rsidRPr="00D11C96">
        <w:rPr>
          <w:rFonts w:ascii="Garamond" w:hAnsi="Garamond"/>
          <w:sz w:val="22"/>
          <w:szCs w:val="22"/>
        </w:rPr>
        <w:t>. Est</w:t>
      </w:r>
      <w:r w:rsidRPr="00D11C96" w:rsidR="00D52A0E">
        <w:rPr>
          <w:rFonts w:ascii="Garamond" w:hAnsi="Garamond"/>
          <w:sz w:val="22"/>
          <w:szCs w:val="22"/>
        </w:rPr>
        <w:t xml:space="preserve">a propuesta </w:t>
      </w:r>
      <w:r w:rsidRPr="00D11C96">
        <w:rPr>
          <w:rFonts w:ascii="Garamond" w:hAnsi="Garamond"/>
          <w:sz w:val="22"/>
          <w:szCs w:val="22"/>
        </w:rPr>
        <w:t>normativ</w:t>
      </w:r>
      <w:r w:rsidRPr="00D11C96" w:rsidR="00D52A0E">
        <w:rPr>
          <w:rFonts w:ascii="Garamond" w:hAnsi="Garamond"/>
          <w:sz w:val="22"/>
          <w:szCs w:val="22"/>
        </w:rPr>
        <w:t>a</w:t>
      </w:r>
      <w:r w:rsidRPr="00D11C96">
        <w:rPr>
          <w:rFonts w:ascii="Garamond" w:hAnsi="Garamond"/>
          <w:sz w:val="22"/>
          <w:szCs w:val="22"/>
        </w:rPr>
        <w:t xml:space="preserve"> genera un efecto positivo concreto</w:t>
      </w:r>
      <w:r w:rsidRPr="00D11C96" w:rsidR="00D52A0E">
        <w:rPr>
          <w:rFonts w:ascii="Garamond" w:hAnsi="Garamond"/>
          <w:sz w:val="22"/>
          <w:szCs w:val="22"/>
        </w:rPr>
        <w:t xml:space="preserve"> al</w:t>
      </w:r>
      <w:r w:rsidRPr="00D11C96">
        <w:rPr>
          <w:rFonts w:ascii="Garamond" w:hAnsi="Garamond"/>
          <w:sz w:val="22"/>
          <w:szCs w:val="22"/>
        </w:rPr>
        <w:t xml:space="preserve"> prioriza</w:t>
      </w:r>
      <w:r w:rsidRPr="00D11C96" w:rsidR="00D52A0E">
        <w:rPr>
          <w:rFonts w:ascii="Garamond" w:hAnsi="Garamond"/>
          <w:sz w:val="22"/>
          <w:szCs w:val="22"/>
        </w:rPr>
        <w:t xml:space="preserve">r </w:t>
      </w:r>
      <w:r w:rsidRPr="00D11C96">
        <w:rPr>
          <w:rFonts w:ascii="Garamond" w:hAnsi="Garamond"/>
          <w:sz w:val="22"/>
          <w:szCs w:val="22"/>
        </w:rPr>
        <w:t xml:space="preserve">la integridad de ecosistemas </w:t>
      </w:r>
      <w:r w:rsidRPr="00D11C96" w:rsidR="00D52A0E">
        <w:rPr>
          <w:rFonts w:ascii="Garamond" w:hAnsi="Garamond"/>
          <w:sz w:val="22"/>
          <w:szCs w:val="22"/>
        </w:rPr>
        <w:t>andinos que ayudan a la r</w:t>
      </w:r>
      <w:r w:rsidRPr="00D11C96">
        <w:rPr>
          <w:rFonts w:ascii="Garamond" w:hAnsi="Garamond"/>
          <w:sz w:val="22"/>
          <w:szCs w:val="22"/>
        </w:rPr>
        <w:t>egula</w:t>
      </w:r>
      <w:r w:rsidRPr="00D11C96" w:rsidR="00D52A0E">
        <w:rPr>
          <w:rFonts w:ascii="Garamond" w:hAnsi="Garamond"/>
          <w:sz w:val="22"/>
          <w:szCs w:val="22"/>
        </w:rPr>
        <w:t>ción</w:t>
      </w:r>
      <w:r w:rsidRPr="00D11C96">
        <w:rPr>
          <w:rFonts w:ascii="Garamond" w:hAnsi="Garamond"/>
          <w:sz w:val="22"/>
          <w:szCs w:val="22"/>
        </w:rPr>
        <w:t xml:space="preserve"> </w:t>
      </w:r>
      <w:r w:rsidRPr="00D11C96" w:rsidR="00D52A0E">
        <w:rPr>
          <w:rFonts w:ascii="Garamond" w:hAnsi="Garamond"/>
          <w:sz w:val="22"/>
          <w:szCs w:val="22"/>
        </w:rPr>
        <w:t>d</w:t>
      </w:r>
      <w:r w:rsidRPr="00D11C96">
        <w:rPr>
          <w:rFonts w:ascii="Garamond" w:hAnsi="Garamond"/>
          <w:sz w:val="22"/>
          <w:szCs w:val="22"/>
        </w:rPr>
        <w:t>el ciclo hídrico, previenen procesos de erosión y contribuyen al control de riesgos ambientales. En esta medida, los municipios deberán ajustar sus decisiones de planificación para garantizar que dichos ecosistemas no sean reemplazados por usos antrópicos que comprometan la estabilidad ecológica de la región</w:t>
      </w:r>
      <w:r w:rsidRPr="00D11C96" w:rsidR="00D52A0E">
        <w:rPr>
          <w:rFonts w:ascii="Garamond" w:hAnsi="Garamond"/>
          <w:sz w:val="22"/>
          <w:szCs w:val="22"/>
        </w:rPr>
        <w:t xml:space="preserve"> y su integridad por endurecimiento del suelo.</w:t>
      </w:r>
    </w:p>
    <w:p w:rsidRPr="00D11C96" w:rsidR="000C5FBC" w:rsidP="00D52A0E" w:rsidRDefault="000C5FBC" w14:paraId="57C6D0F0" w14:textId="34F424BF">
      <w:pPr>
        <w:jc w:val="both"/>
        <w:rPr>
          <w:rFonts w:ascii="Garamond" w:hAnsi="Garamond"/>
          <w:sz w:val="22"/>
          <w:szCs w:val="22"/>
        </w:rPr>
      </w:pPr>
      <w:r w:rsidRPr="00D11C96">
        <w:rPr>
          <w:rFonts w:ascii="Garamond" w:hAnsi="Garamond"/>
          <w:sz w:val="22"/>
          <w:szCs w:val="22"/>
        </w:rPr>
        <w:t xml:space="preserve">Asimismo, la regulación sobre </w:t>
      </w:r>
      <w:r w:rsidRPr="00D11C96">
        <w:rPr>
          <w:rFonts w:ascii="Garamond" w:hAnsi="Garamond"/>
          <w:b/>
          <w:bCs/>
          <w:sz w:val="22"/>
          <w:szCs w:val="22"/>
        </w:rPr>
        <w:t>ecosistemas de humedal</w:t>
      </w:r>
      <w:r w:rsidRPr="00D11C96">
        <w:rPr>
          <w:rFonts w:ascii="Garamond" w:hAnsi="Garamond"/>
          <w:sz w:val="22"/>
          <w:szCs w:val="22"/>
        </w:rPr>
        <w:t xml:space="preserve">, contenida en el </w:t>
      </w:r>
      <w:r w:rsidRPr="00D11C96">
        <w:rPr>
          <w:rFonts w:ascii="Garamond" w:hAnsi="Garamond"/>
          <w:i/>
          <w:iCs/>
          <w:sz w:val="22"/>
          <w:szCs w:val="22"/>
        </w:rPr>
        <w:t>Artículo 7 de la propuesta de resolución</w:t>
      </w:r>
      <w:r w:rsidRPr="00D11C96">
        <w:rPr>
          <w:rFonts w:ascii="Garamond" w:hAnsi="Garamond"/>
          <w:sz w:val="22"/>
          <w:szCs w:val="22"/>
        </w:rPr>
        <w:t xml:space="preserve">, se integra con el enfoque de atención prioritaria contemplado en la Orden 4.23. Este artículo establece lineamientos precisos para garantizar la protección, restauración y manejo adecuado de los humedales de la Sabana, entendidos como áreas esenciales para la biodiversidad, la regulación hídrica y la mitigación de inundaciones. El efecto sobre los nuevos usos del suelo </w:t>
      </w:r>
      <w:r w:rsidRPr="00D11C96" w:rsidR="00D52A0E">
        <w:rPr>
          <w:rFonts w:ascii="Garamond" w:hAnsi="Garamond"/>
          <w:sz w:val="22"/>
          <w:szCs w:val="22"/>
        </w:rPr>
        <w:t>implica limitar</w:t>
      </w:r>
      <w:r w:rsidRPr="00D11C96">
        <w:rPr>
          <w:rFonts w:ascii="Garamond" w:hAnsi="Garamond"/>
          <w:sz w:val="22"/>
          <w:szCs w:val="22"/>
        </w:rPr>
        <w:t xml:space="preserve"> actividades de urbanización, relleno, ocupación dentro y en el entorno inmediato de los humedales. A su vez, se promueven actividades compatibles como la restauración ecológica, la investigación científica y ciertos usos comunitarios sostenibles. La protección reforzada de estos ecosistemas contribuye a reducir la presión sobre las áreas inundables, mejora la resiliencia climática y garantiza la continuidad de los servicios ecosistémicos en beneficio de toda la Sabana.</w:t>
      </w:r>
    </w:p>
    <w:p w:rsidRPr="00D11C96" w:rsidR="000C5FBC" w:rsidP="00D52A0E" w:rsidRDefault="000C5FBC" w14:paraId="014A6D2B" w14:textId="5CBBE495">
      <w:pPr>
        <w:jc w:val="both"/>
        <w:rPr>
          <w:rFonts w:ascii="Garamond" w:hAnsi="Garamond"/>
          <w:sz w:val="22"/>
          <w:szCs w:val="22"/>
        </w:rPr>
      </w:pPr>
      <w:r w:rsidRPr="00D11C96">
        <w:rPr>
          <w:rFonts w:ascii="Garamond" w:hAnsi="Garamond"/>
          <w:sz w:val="22"/>
          <w:szCs w:val="22"/>
        </w:rPr>
        <w:t xml:space="preserve">Otro aspecto relevante es el conjunto de orientaciones para los </w:t>
      </w:r>
      <w:r w:rsidRPr="00D11C96">
        <w:rPr>
          <w:rFonts w:ascii="Garamond" w:hAnsi="Garamond"/>
          <w:b/>
          <w:bCs/>
          <w:sz w:val="22"/>
          <w:szCs w:val="22"/>
        </w:rPr>
        <w:t>modelos de ocupación territorial</w:t>
      </w:r>
      <w:r w:rsidRPr="00D11C96">
        <w:rPr>
          <w:rFonts w:ascii="Garamond" w:hAnsi="Garamond"/>
          <w:sz w:val="22"/>
          <w:szCs w:val="22"/>
        </w:rPr>
        <w:t>, contemplado en el artículo correspondiente del documento, el cual enfatiza la necesidad de asegurar una expansión urbana controlada, evitar la dispersión de asentamientos y promover un crecimiento compacto y eficiente</w:t>
      </w:r>
      <w:r w:rsidRPr="00D11C96" w:rsidR="00D52A0E">
        <w:rPr>
          <w:rFonts w:ascii="Garamond" w:hAnsi="Garamond"/>
          <w:sz w:val="22"/>
          <w:szCs w:val="22"/>
        </w:rPr>
        <w:t xml:space="preserve">, priorizando la </w:t>
      </w:r>
      <w:r w:rsidRPr="00D11C96">
        <w:rPr>
          <w:rFonts w:ascii="Garamond" w:hAnsi="Garamond"/>
          <w:sz w:val="22"/>
          <w:szCs w:val="22"/>
        </w:rPr>
        <w:t>sostenibilidad ambiental y la funcionalidad ecológica. Esto se traduce, entre otros efectos, en la reducción de presiones sobre suelos rurales, la prevención de la conurbación desordenada entre municipios y el fomento de corredores ecológicos que conecten áreas protegidas. Al complementar estos lineamientos con la Sentencia del Río Bogotá, se garantiza que la planificación territorial no se limite a la zonificación urbana, sino que se estructure a partir de las dinámicas ambientales y de los riesgos asociados al manejo del recurso hídrico.</w:t>
      </w:r>
    </w:p>
    <w:p w:rsidRPr="00D11C96" w:rsidR="000C5FBC" w:rsidP="139B1CFE" w:rsidRDefault="000C5FBC" w14:paraId="09830EF2" w14:textId="0C359829">
      <w:pPr>
        <w:jc w:val="both"/>
        <w:rPr>
          <w:rFonts w:ascii="Garamond" w:hAnsi="Garamond"/>
          <w:sz w:val="22"/>
          <w:szCs w:val="22"/>
        </w:rPr>
      </w:pPr>
      <w:r w:rsidRPr="00D11C96">
        <w:rPr>
          <w:rFonts w:ascii="Garamond" w:hAnsi="Garamond"/>
          <w:sz w:val="22"/>
          <w:szCs w:val="22"/>
        </w:rPr>
        <w:t>Finalmente, es importante señalar que la combinación entre el mandato judicial</w:t>
      </w:r>
      <w:r w:rsidRPr="00D11C96" w:rsidR="00D52A0E">
        <w:rPr>
          <w:rFonts w:ascii="Garamond" w:hAnsi="Garamond"/>
          <w:sz w:val="22"/>
          <w:szCs w:val="22"/>
        </w:rPr>
        <w:t xml:space="preserve"> (sentencia del Río Bogotá)</w:t>
      </w:r>
      <w:r w:rsidRPr="00D11C96">
        <w:rPr>
          <w:rFonts w:ascii="Garamond" w:hAnsi="Garamond"/>
          <w:sz w:val="22"/>
          <w:szCs w:val="22"/>
        </w:rPr>
        <w:t>, los POT vigentes y la propuesta de resolución genera un marco de gobernanza territorial más robusto, donde la toma de decisiones sobre nuevos usos del suelo adquiere un carácter técnico y ambientalmente fundamentado. Esta articulación reduce la discrecionalidad, aumenta la seguridad jurídica y promueve decisiones de largo plazo que respondan a la función ecológica del territorio. Los efectos positivos acumulados se traducen en un territorio mejor planificado, con límites claros para la urbanización, con ecosistemas prioritarios protegidos y con usos del suelo que favorecen la resiliencia ecosistémica y el bienestar de la población.</w:t>
      </w:r>
    </w:p>
    <w:p w:rsidRPr="00D11C96" w:rsidR="00C618B0" w:rsidP="00FF796F" w:rsidRDefault="00C618B0" w14:paraId="0C877CEC" w14:textId="3185A0F4">
      <w:pPr>
        <w:pStyle w:val="Heading2"/>
        <w:numPr>
          <w:ilvl w:val="0"/>
          <w:numId w:val="10"/>
        </w:numPr>
      </w:pPr>
      <w:bookmarkStart w:name="_Toc216938696" w:id="3"/>
      <w:r w:rsidRPr="00D11C96">
        <w:t>Efectos sobre infraestructura</w:t>
      </w:r>
      <w:r w:rsidRPr="00D11C96" w:rsidR="00522564">
        <w:t xml:space="preserve"> de servicios públicos</w:t>
      </w:r>
      <w:bookmarkEnd w:id="3"/>
    </w:p>
    <w:p w:rsidRPr="00D11C96" w:rsidR="00522564" w:rsidP="00522564" w:rsidRDefault="00522564" w14:paraId="22A9ACEB" w14:textId="26728FF4">
      <w:pPr>
        <w:jc w:val="both"/>
        <w:rPr>
          <w:rFonts w:ascii="Garamond" w:hAnsi="Garamond"/>
          <w:sz w:val="22"/>
          <w:szCs w:val="22"/>
        </w:rPr>
      </w:pPr>
      <w:r w:rsidRPr="00D11C96">
        <w:rPr>
          <w:rFonts w:ascii="Garamond" w:hAnsi="Garamond"/>
          <w:sz w:val="22"/>
          <w:szCs w:val="22"/>
        </w:rPr>
        <w:t xml:space="preserve">La resolución propuesta para la Sabana de Bogotá, en articulación con las órdenes impartidas por la Sentencia del río Bogotá, no tendrá efecto sobre infraestructura de transporte </w:t>
      </w:r>
      <w:proofErr w:type="spellStart"/>
      <w:r w:rsidRPr="00D11C96">
        <w:rPr>
          <w:rFonts w:ascii="Garamond" w:hAnsi="Garamond"/>
          <w:sz w:val="22"/>
          <w:szCs w:val="22"/>
        </w:rPr>
        <w:t>pre-existentes</w:t>
      </w:r>
      <w:proofErr w:type="spellEnd"/>
      <w:r w:rsidRPr="00D11C96">
        <w:rPr>
          <w:rFonts w:ascii="Garamond" w:hAnsi="Garamond"/>
          <w:sz w:val="22"/>
          <w:szCs w:val="22"/>
        </w:rPr>
        <w:t xml:space="preserve">, con situaciones jurídicas consolidadas, con permisos y licencias vigentes, o incluidos en instrumentos de ordenamiento vigentes. Lo anterior, dado que, uno de los primeros efectos para tener en cuenta, consiste en </w:t>
      </w:r>
      <w:r w:rsidRPr="00D11C96">
        <w:rPr>
          <w:rFonts w:ascii="Garamond" w:hAnsi="Garamond"/>
          <w:b/>
          <w:bCs/>
          <w:sz w:val="22"/>
          <w:szCs w:val="22"/>
        </w:rPr>
        <w:t>respetar y mantener las situaciones jurídicas de servicios públicos e infraestructura que ya se encuentran consolidadas (Artículo 30 de la propuesta de resolución)</w:t>
      </w:r>
      <w:r w:rsidRPr="00D11C96">
        <w:rPr>
          <w:rFonts w:ascii="Garamond" w:hAnsi="Garamond"/>
          <w:sz w:val="22"/>
          <w:szCs w:val="22"/>
        </w:rPr>
        <w:t>, buscando que el ordenamiento goce de una estabilidad jurídica sin permitir nuevas intervenciones que propendan por el endurecimiento del suelo. En este contexto, se reconoce que “las directrices de ordenamiento ambiental no tienen efecto retroactivo”, lo que evita afectaciones sobre la infraestructura ya construida.</w:t>
      </w:r>
    </w:p>
    <w:p w:rsidRPr="00D11C96" w:rsidR="00522564" w:rsidP="00522564" w:rsidRDefault="00522564" w14:paraId="76747519" w14:textId="77777777">
      <w:pPr>
        <w:jc w:val="both"/>
        <w:rPr>
          <w:rFonts w:ascii="Garamond" w:hAnsi="Garamond"/>
          <w:sz w:val="22"/>
          <w:szCs w:val="22"/>
        </w:rPr>
      </w:pPr>
      <w:r w:rsidRPr="00D11C96">
        <w:rPr>
          <w:rFonts w:ascii="Garamond" w:hAnsi="Garamond"/>
          <w:sz w:val="22"/>
          <w:szCs w:val="22"/>
        </w:rPr>
        <w:t xml:space="preserve">Un segundo efecto se relaciona con la necesidad de </w:t>
      </w:r>
      <w:r w:rsidRPr="00D11C96">
        <w:rPr>
          <w:rFonts w:ascii="Garamond" w:hAnsi="Garamond"/>
          <w:b/>
          <w:bCs/>
          <w:sz w:val="22"/>
          <w:szCs w:val="22"/>
        </w:rPr>
        <w:t>evitar que la expansión o construcción de nueva infraestructura continúe deteriorando la biodiversidad, la integridad ecológica y las áreas estratégicas de prestación de servicios ecosistémicos</w:t>
      </w:r>
      <w:r w:rsidRPr="00D11C96">
        <w:rPr>
          <w:rFonts w:ascii="Garamond" w:hAnsi="Garamond"/>
          <w:sz w:val="22"/>
          <w:szCs w:val="22"/>
        </w:rPr>
        <w:t xml:space="preserve">, particularmente aquellas relacionadas con la regulación hídrica. La </w:t>
      </w:r>
      <w:r w:rsidRPr="00D11C96">
        <w:rPr>
          <w:rFonts w:ascii="Garamond" w:hAnsi="Garamond"/>
          <w:b/>
          <w:bCs/>
          <w:sz w:val="22"/>
          <w:szCs w:val="22"/>
        </w:rPr>
        <w:t>Orden 4.19 de la Sentencia</w:t>
      </w:r>
      <w:r w:rsidRPr="00D11C96">
        <w:rPr>
          <w:rFonts w:ascii="Garamond" w:hAnsi="Garamond"/>
          <w:sz w:val="22"/>
          <w:szCs w:val="22"/>
        </w:rPr>
        <w:t xml:space="preserve"> establece que los municipios deberán prohibir desarrollos que comprometan la funcionalidad ecosistémica, lo que se articula con el </w:t>
      </w:r>
      <w:r w:rsidRPr="00D11C96">
        <w:rPr>
          <w:rFonts w:ascii="Garamond" w:hAnsi="Garamond"/>
          <w:b/>
          <w:bCs/>
          <w:sz w:val="22"/>
          <w:szCs w:val="22"/>
        </w:rPr>
        <w:t>Artículo 6</w:t>
      </w:r>
      <w:r w:rsidRPr="00D11C96">
        <w:rPr>
          <w:rFonts w:ascii="Garamond" w:hAnsi="Garamond"/>
          <w:sz w:val="22"/>
          <w:szCs w:val="22"/>
        </w:rPr>
        <w:t xml:space="preserve"> de la propuesta de resolución, que regula incorpora los bosques andinos y </w:t>
      </w:r>
      <w:proofErr w:type="spellStart"/>
      <w:r w:rsidRPr="00D11C96">
        <w:rPr>
          <w:rFonts w:ascii="Garamond" w:hAnsi="Garamond"/>
          <w:sz w:val="22"/>
          <w:szCs w:val="22"/>
        </w:rPr>
        <w:t>subxerofiticos</w:t>
      </w:r>
      <w:proofErr w:type="spellEnd"/>
      <w:r w:rsidRPr="00D11C96">
        <w:rPr>
          <w:rFonts w:ascii="Garamond" w:hAnsi="Garamond"/>
          <w:sz w:val="22"/>
          <w:szCs w:val="22"/>
        </w:rPr>
        <w:t xml:space="preserve"> a los determinantes ambientales de nivel 1 de la Sabana. En ese sentido se busca que la planificación de redes de acueducto, alcantarillado, drenaje, energía y gas deberá evitar localizaciones que incrementen la presión sobre estos ecosistemas, en coherencia con el registro técnico según el cual </w:t>
      </w:r>
      <w:r w:rsidRPr="00D11C96">
        <w:rPr>
          <w:rFonts w:ascii="Garamond" w:hAnsi="Garamond"/>
          <w:b/>
          <w:bCs/>
          <w:sz w:val="22"/>
          <w:szCs w:val="22"/>
        </w:rPr>
        <w:t>se busca impedir que siga el deterioro y pérdida de coberturas naturales</w:t>
      </w:r>
      <w:r w:rsidRPr="00D11C96">
        <w:rPr>
          <w:rFonts w:ascii="Garamond" w:hAnsi="Garamond"/>
          <w:sz w:val="22"/>
          <w:szCs w:val="22"/>
        </w:rPr>
        <w:t>, pues esto tiene efectos directos sobre la seguridad hídrica y la estabilidad de la infraestructura, logrando así generar los menores impactos posibles en cuanto a la construcción de nuevas infraestructuras sobre áreas a las que refiere el numeral 1 del artículo 10 de la ley 388 de 1997.</w:t>
      </w:r>
    </w:p>
    <w:p w:rsidRPr="00D11C96" w:rsidR="00522564" w:rsidP="00522564" w:rsidRDefault="00522564" w14:paraId="6CAFB766" w14:textId="7EA78F50">
      <w:pPr>
        <w:jc w:val="both"/>
        <w:rPr>
          <w:rFonts w:ascii="Garamond" w:hAnsi="Garamond"/>
          <w:sz w:val="22"/>
          <w:szCs w:val="22"/>
        </w:rPr>
      </w:pPr>
      <w:r w:rsidRPr="00D11C96">
        <w:rPr>
          <w:rFonts w:ascii="Garamond" w:hAnsi="Garamond"/>
          <w:sz w:val="22"/>
          <w:szCs w:val="22"/>
        </w:rPr>
        <w:t xml:space="preserve">En cuanto a la infraestructura regional: </w:t>
      </w:r>
      <w:r w:rsidRPr="00D11C96">
        <w:rPr>
          <w:rFonts w:ascii="Garamond" w:hAnsi="Garamond"/>
          <w:b/>
          <w:bCs/>
          <w:sz w:val="22"/>
          <w:szCs w:val="22"/>
        </w:rPr>
        <w:t>la mayor parte de los proyectos en curso o previstos generan superposición con áreas ambientalmente frágiles y ecosistemas estratégicos</w:t>
      </w:r>
      <w:r w:rsidRPr="00D11C96">
        <w:rPr>
          <w:rFonts w:ascii="Garamond" w:hAnsi="Garamond"/>
          <w:sz w:val="22"/>
          <w:szCs w:val="22"/>
        </w:rPr>
        <w:t xml:space="preserve">, en el Documento </w:t>
      </w:r>
      <w:proofErr w:type="spellStart"/>
      <w:r w:rsidRPr="00D11C96">
        <w:rPr>
          <w:rFonts w:ascii="Garamond" w:hAnsi="Garamond"/>
          <w:sz w:val="22"/>
          <w:szCs w:val="22"/>
        </w:rPr>
        <w:t>Tecnico</w:t>
      </w:r>
      <w:proofErr w:type="spellEnd"/>
      <w:r w:rsidRPr="00D11C96">
        <w:rPr>
          <w:rFonts w:ascii="Garamond" w:hAnsi="Garamond"/>
          <w:sz w:val="22"/>
          <w:szCs w:val="22"/>
        </w:rPr>
        <w:t xml:space="preserve"> de Soporte, se identificó que de </w:t>
      </w:r>
      <w:r w:rsidRPr="00D11C96">
        <w:rPr>
          <w:rFonts w:ascii="Garamond" w:hAnsi="Garamond"/>
          <w:b/>
          <w:bCs/>
          <w:sz w:val="22"/>
          <w:szCs w:val="22"/>
        </w:rPr>
        <w:t>18 proyectos de infraestructura vial regional</w:t>
      </w:r>
      <w:r w:rsidRPr="00D11C96">
        <w:rPr>
          <w:rFonts w:ascii="Garamond" w:hAnsi="Garamond"/>
          <w:sz w:val="22"/>
          <w:szCs w:val="22"/>
        </w:rPr>
        <w:t xml:space="preserve">, solo </w:t>
      </w:r>
      <w:r w:rsidRPr="00D11C96">
        <w:rPr>
          <w:rFonts w:ascii="Garamond" w:hAnsi="Garamond"/>
          <w:b/>
          <w:bCs/>
          <w:sz w:val="22"/>
          <w:szCs w:val="22"/>
        </w:rPr>
        <w:t>3 no se superponen con la frontera agrícola</w:t>
      </w:r>
      <w:r w:rsidRPr="00D11C96">
        <w:rPr>
          <w:rFonts w:ascii="Garamond" w:hAnsi="Garamond"/>
          <w:sz w:val="22"/>
          <w:szCs w:val="22"/>
        </w:rPr>
        <w:t xml:space="preserve">, mientras que la mayoría coinciden con ella. Asimismo, </w:t>
      </w:r>
      <w:r w:rsidRPr="00D11C96">
        <w:rPr>
          <w:rFonts w:ascii="Garamond" w:hAnsi="Garamond"/>
          <w:b/>
          <w:bCs/>
          <w:sz w:val="22"/>
          <w:szCs w:val="22"/>
        </w:rPr>
        <w:t>el 50 % presenta exclusiones legales aplicables</w:t>
      </w:r>
      <w:r w:rsidRPr="00D11C96">
        <w:rPr>
          <w:rFonts w:ascii="Garamond" w:hAnsi="Garamond"/>
          <w:sz w:val="22"/>
          <w:szCs w:val="22"/>
        </w:rPr>
        <w:t xml:space="preserve">, y </w:t>
      </w:r>
      <w:r w:rsidRPr="00D11C96">
        <w:rPr>
          <w:rFonts w:ascii="Garamond" w:hAnsi="Garamond"/>
          <w:b/>
          <w:bCs/>
          <w:sz w:val="22"/>
          <w:szCs w:val="22"/>
        </w:rPr>
        <w:t>el 100 % se superpone parcial o totalmente con áreas de bosques naturales y zonas no agropecuarias</w:t>
      </w:r>
      <w:r w:rsidRPr="00D11C96">
        <w:rPr>
          <w:rFonts w:ascii="Garamond" w:hAnsi="Garamond"/>
          <w:sz w:val="22"/>
          <w:szCs w:val="22"/>
        </w:rPr>
        <w:t xml:space="preserve">. Esta evidencia se relaciona con la obligación contenida en la </w:t>
      </w:r>
      <w:r w:rsidRPr="00D11C96">
        <w:rPr>
          <w:rFonts w:ascii="Garamond" w:hAnsi="Garamond"/>
          <w:b/>
          <w:bCs/>
          <w:sz w:val="22"/>
          <w:szCs w:val="22"/>
        </w:rPr>
        <w:t>Orden 4.20</w:t>
      </w:r>
      <w:r w:rsidRPr="00D11C96">
        <w:rPr>
          <w:rFonts w:ascii="Garamond" w:hAnsi="Garamond"/>
          <w:sz w:val="22"/>
          <w:szCs w:val="22"/>
        </w:rPr>
        <w:t xml:space="preserve">, que exige restringir actividades que generen fragmentación o pérdida de funciones ecológicas, así como con el </w:t>
      </w:r>
      <w:r w:rsidRPr="00D11C96">
        <w:rPr>
          <w:rFonts w:ascii="Garamond" w:hAnsi="Garamond"/>
          <w:b/>
          <w:bCs/>
          <w:sz w:val="22"/>
          <w:szCs w:val="22"/>
        </w:rPr>
        <w:t>Artículo 14 de la resolución</w:t>
      </w:r>
      <w:r w:rsidRPr="00D11C96">
        <w:rPr>
          <w:rFonts w:ascii="Garamond" w:hAnsi="Garamond"/>
          <w:sz w:val="22"/>
          <w:szCs w:val="22"/>
        </w:rPr>
        <w:t xml:space="preserve">, que regula la localización de proyectos según niveles de integridad ecológica. Los datos cuantitativos demuestran que la infraestructura prevista enfrenta riesgos ambientales y técnicos significativos, agravados por el hecho de que dentro de las áreas protegidas y OMEC de la Sabana —que suman </w:t>
      </w:r>
      <w:r w:rsidRPr="00D11C96">
        <w:rPr>
          <w:rFonts w:ascii="Garamond" w:hAnsi="Garamond"/>
          <w:b/>
          <w:bCs/>
          <w:sz w:val="22"/>
          <w:szCs w:val="22"/>
        </w:rPr>
        <w:t>150.480 hectáreas</w:t>
      </w:r>
      <w:r w:rsidRPr="00D11C96">
        <w:rPr>
          <w:rFonts w:ascii="Garamond" w:hAnsi="Garamond"/>
          <w:sz w:val="22"/>
          <w:szCs w:val="22"/>
        </w:rPr>
        <w:t xml:space="preserve"> de las cuales </w:t>
      </w:r>
      <w:r w:rsidRPr="00D11C96">
        <w:rPr>
          <w:rFonts w:ascii="Garamond" w:hAnsi="Garamond"/>
          <w:b/>
          <w:bCs/>
          <w:sz w:val="22"/>
          <w:szCs w:val="22"/>
        </w:rPr>
        <w:t>81.637 hectáreas (61 %) presentan integridad ecológica baja o muy baja</w:t>
      </w:r>
      <w:r w:rsidRPr="00D11C96">
        <w:rPr>
          <w:rFonts w:ascii="Garamond" w:hAnsi="Garamond"/>
          <w:sz w:val="22"/>
          <w:szCs w:val="22"/>
        </w:rPr>
        <w:t>.</w:t>
      </w:r>
    </w:p>
    <w:p w:rsidRPr="00D11C96" w:rsidR="00522564" w:rsidP="00522564" w:rsidRDefault="00522564" w14:paraId="2C1BAF21" w14:textId="7CB405DC">
      <w:pPr>
        <w:jc w:val="both"/>
        <w:rPr>
          <w:rFonts w:ascii="Garamond" w:hAnsi="Garamond"/>
          <w:sz w:val="22"/>
          <w:szCs w:val="22"/>
        </w:rPr>
      </w:pPr>
      <w:r w:rsidRPr="00D11C96">
        <w:rPr>
          <w:rFonts w:ascii="Garamond" w:hAnsi="Garamond"/>
          <w:sz w:val="22"/>
          <w:szCs w:val="22"/>
        </w:rPr>
        <w:t xml:space="preserve">Un efecto adicional se manifiesta en la necesidad de </w:t>
      </w:r>
      <w:r w:rsidRPr="00D11C96">
        <w:rPr>
          <w:rFonts w:ascii="Garamond" w:hAnsi="Garamond"/>
          <w:b/>
          <w:bCs/>
          <w:sz w:val="22"/>
          <w:szCs w:val="22"/>
        </w:rPr>
        <w:t>proteger humedales, rondas hídricas, bosques y zonas de recarga</w:t>
      </w:r>
      <w:r w:rsidRPr="00D11C96">
        <w:rPr>
          <w:rFonts w:ascii="Garamond" w:hAnsi="Garamond"/>
          <w:sz w:val="22"/>
          <w:szCs w:val="22"/>
        </w:rPr>
        <w:t xml:space="preserve"> como condición para garantizar la sostenibilidad del ciclo del agua de su abastecimiento. Según la </w:t>
      </w:r>
      <w:r w:rsidRPr="00D11C96">
        <w:rPr>
          <w:rFonts w:ascii="Garamond" w:hAnsi="Garamond"/>
          <w:b/>
          <w:bCs/>
          <w:sz w:val="22"/>
          <w:szCs w:val="22"/>
        </w:rPr>
        <w:t>Orden 4.22 de la sentencia</w:t>
      </w:r>
      <w:r w:rsidRPr="00D11C96">
        <w:rPr>
          <w:rFonts w:ascii="Garamond" w:hAnsi="Garamond"/>
          <w:sz w:val="22"/>
          <w:szCs w:val="22"/>
        </w:rPr>
        <w:t xml:space="preserve">, el territorio debe ser planificado bajo criterios de protección reforzada en áreas de especial importancia ambiental. Ello se articula con el </w:t>
      </w:r>
      <w:r w:rsidRPr="00D11C96">
        <w:rPr>
          <w:rFonts w:ascii="Garamond" w:hAnsi="Garamond"/>
          <w:b/>
          <w:bCs/>
          <w:sz w:val="22"/>
          <w:szCs w:val="22"/>
        </w:rPr>
        <w:t>Artículo 15</w:t>
      </w:r>
      <w:r w:rsidRPr="00D11C96">
        <w:rPr>
          <w:rFonts w:ascii="Garamond" w:hAnsi="Garamond"/>
          <w:sz w:val="22"/>
          <w:szCs w:val="22"/>
        </w:rPr>
        <w:t xml:space="preserve">, que regula la localización de infraestructura de residuos </w:t>
      </w:r>
      <w:r w:rsidRPr="00D11C96" w:rsidR="00AC6103">
        <w:rPr>
          <w:rFonts w:ascii="Garamond" w:hAnsi="Garamond"/>
          <w:sz w:val="22"/>
          <w:szCs w:val="22"/>
        </w:rPr>
        <w:t xml:space="preserve">por fuera áreas a las que se refiere el numeral 1 del artículo 10 de la Ley 388 de 1997, modificada por el artículo 32 de la Ley 2294 de 2023. La información contenida en el Documento </w:t>
      </w:r>
      <w:proofErr w:type="spellStart"/>
      <w:r w:rsidRPr="00D11C96" w:rsidR="00AC6103">
        <w:rPr>
          <w:rFonts w:ascii="Garamond" w:hAnsi="Garamond"/>
          <w:sz w:val="22"/>
          <w:szCs w:val="22"/>
        </w:rPr>
        <w:t>Tecnico</w:t>
      </w:r>
      <w:proofErr w:type="spellEnd"/>
      <w:r w:rsidRPr="00D11C96" w:rsidR="00AC6103">
        <w:rPr>
          <w:rFonts w:ascii="Garamond" w:hAnsi="Garamond"/>
          <w:sz w:val="22"/>
          <w:szCs w:val="22"/>
        </w:rPr>
        <w:t xml:space="preserve"> de Soporte</w:t>
      </w:r>
      <w:r w:rsidRPr="00D11C96">
        <w:rPr>
          <w:rFonts w:ascii="Garamond" w:hAnsi="Garamond"/>
          <w:sz w:val="22"/>
          <w:szCs w:val="22"/>
        </w:rPr>
        <w:t xml:space="preserve"> indica que “la mayor parte de las afectaciones sobre humedales y áreas de importancia ecológica están asociadas a obras viales, logísticas o urbanas”, lo que obliga a reorientar la localización de </w:t>
      </w:r>
      <w:r w:rsidRPr="00D11C96" w:rsidR="00AC6103">
        <w:rPr>
          <w:rFonts w:ascii="Garamond" w:hAnsi="Garamond"/>
          <w:sz w:val="22"/>
          <w:szCs w:val="22"/>
        </w:rPr>
        <w:t>este tipo de infraestructuras</w:t>
      </w:r>
      <w:r w:rsidRPr="00D11C96">
        <w:rPr>
          <w:rFonts w:ascii="Garamond" w:hAnsi="Garamond"/>
          <w:sz w:val="22"/>
          <w:szCs w:val="22"/>
        </w:rPr>
        <w:t>, para evitar daños sobre cuerpos de agua y mitigar riesgos para las comunidades.</w:t>
      </w:r>
    </w:p>
    <w:p w:rsidRPr="00D11C96" w:rsidR="00522564" w:rsidP="00861E7C" w:rsidRDefault="00522564" w14:paraId="6500BA00" w14:textId="23F8FE98">
      <w:pPr>
        <w:jc w:val="both"/>
      </w:pPr>
      <w:r w:rsidRPr="00D11C96">
        <w:rPr>
          <w:rFonts w:ascii="Garamond" w:hAnsi="Garamond"/>
          <w:sz w:val="22"/>
          <w:szCs w:val="22"/>
        </w:rPr>
        <w:t xml:space="preserve">Finalmente, un quinto efecto está asociado al manejo del riesgo socioambiental generado por intervenciones La propuesta de </w:t>
      </w:r>
      <w:r w:rsidRPr="00D11C96" w:rsidR="00AC6103">
        <w:rPr>
          <w:rFonts w:ascii="Garamond" w:hAnsi="Garamond"/>
          <w:sz w:val="22"/>
          <w:szCs w:val="22"/>
        </w:rPr>
        <w:t>resolución</w:t>
      </w:r>
      <w:r w:rsidRPr="00D11C96">
        <w:rPr>
          <w:rFonts w:ascii="Garamond" w:hAnsi="Garamond"/>
          <w:sz w:val="22"/>
          <w:szCs w:val="22"/>
        </w:rPr>
        <w:t xml:space="preserve"> establece </w:t>
      </w:r>
      <w:r w:rsidRPr="00D11C96" w:rsidR="00AC6103">
        <w:rPr>
          <w:rFonts w:ascii="Garamond" w:hAnsi="Garamond"/>
          <w:sz w:val="22"/>
          <w:szCs w:val="22"/>
        </w:rPr>
        <w:t xml:space="preserve">directrices que procuran evitar superposiciones entre la </w:t>
      </w:r>
      <w:r w:rsidRPr="00D11C96">
        <w:rPr>
          <w:rFonts w:ascii="Garamond" w:hAnsi="Garamond"/>
          <w:b/>
          <w:bCs/>
          <w:sz w:val="22"/>
          <w:szCs w:val="22"/>
        </w:rPr>
        <w:t xml:space="preserve">localización de infraestructura </w:t>
      </w:r>
      <w:r w:rsidRPr="00D11C96" w:rsidR="00AC6103">
        <w:rPr>
          <w:rFonts w:ascii="Garamond" w:hAnsi="Garamond"/>
          <w:b/>
          <w:bCs/>
          <w:sz w:val="22"/>
          <w:szCs w:val="22"/>
        </w:rPr>
        <w:t>de transmisión eléctrica con las áreas a las que se refiere el numeral 1 del artículo 10 de la Ley 388 de 1997</w:t>
      </w:r>
      <w:r w:rsidRPr="00D11C96" w:rsidR="00AC6103">
        <w:rPr>
          <w:rFonts w:ascii="Garamond" w:hAnsi="Garamond"/>
          <w:sz w:val="22"/>
          <w:szCs w:val="22"/>
        </w:rPr>
        <w:t xml:space="preserve"> mediante el</w:t>
      </w:r>
      <w:r w:rsidRPr="00D11C96">
        <w:rPr>
          <w:rFonts w:ascii="Garamond" w:hAnsi="Garamond"/>
          <w:sz w:val="22"/>
          <w:szCs w:val="22"/>
        </w:rPr>
        <w:t xml:space="preserve"> </w:t>
      </w:r>
      <w:r w:rsidRPr="00D11C96">
        <w:rPr>
          <w:rFonts w:ascii="Garamond" w:hAnsi="Garamond"/>
          <w:b/>
          <w:bCs/>
          <w:sz w:val="22"/>
          <w:szCs w:val="22"/>
        </w:rPr>
        <w:t>Artículo 16</w:t>
      </w:r>
      <w:r w:rsidRPr="00D11C96">
        <w:rPr>
          <w:rFonts w:ascii="Garamond" w:hAnsi="Garamond"/>
          <w:sz w:val="22"/>
          <w:szCs w:val="22"/>
        </w:rPr>
        <w:t xml:space="preserve">. </w:t>
      </w:r>
      <w:r w:rsidRPr="00D11C96" w:rsidR="00AC6103">
        <w:rPr>
          <w:rFonts w:ascii="Garamond" w:hAnsi="Garamond"/>
          <w:sz w:val="22"/>
          <w:szCs w:val="22"/>
        </w:rPr>
        <w:t xml:space="preserve">Lo anterior, dada </w:t>
      </w:r>
      <w:r w:rsidRPr="00D11C96">
        <w:rPr>
          <w:rFonts w:ascii="Garamond" w:hAnsi="Garamond"/>
          <w:sz w:val="22"/>
          <w:szCs w:val="22"/>
        </w:rPr>
        <w:t xml:space="preserve">la evidencia documentada de conflictos sociales derivados de proyectos de infraestructura que afectan cuerpos de agua y reservas protectoras. Destaca el caso de la </w:t>
      </w:r>
      <w:r w:rsidRPr="00D11C96">
        <w:rPr>
          <w:rFonts w:ascii="Garamond" w:hAnsi="Garamond"/>
          <w:b/>
          <w:bCs/>
          <w:sz w:val="22"/>
          <w:szCs w:val="22"/>
        </w:rPr>
        <w:t>cuenca alta del río Bogotá</w:t>
      </w:r>
      <w:r w:rsidRPr="00D11C96">
        <w:rPr>
          <w:rFonts w:ascii="Garamond" w:hAnsi="Garamond"/>
          <w:sz w:val="22"/>
          <w:szCs w:val="22"/>
        </w:rPr>
        <w:t xml:space="preserve">, cuya reserva pasó de </w:t>
      </w:r>
      <w:r w:rsidRPr="00D11C96">
        <w:rPr>
          <w:rFonts w:ascii="Garamond" w:hAnsi="Garamond"/>
          <w:b/>
          <w:bCs/>
          <w:sz w:val="22"/>
          <w:szCs w:val="22"/>
        </w:rPr>
        <w:t>214.000 hectáreas a 94.000 hectáreas</w:t>
      </w:r>
      <w:r w:rsidRPr="00D11C96">
        <w:rPr>
          <w:rFonts w:ascii="Garamond" w:hAnsi="Garamond"/>
          <w:sz w:val="22"/>
          <w:szCs w:val="22"/>
        </w:rPr>
        <w:t xml:space="preserve">, pese a ser objeto de protección. La reducción drástica de esta área ha incrementado los conflictos por el uso del suelo, afectado la calidad del agua y exigido mayores inversiones para sostener la infraestructura de servicios públicos, contraviniendo las limitaciones de la </w:t>
      </w:r>
      <w:r w:rsidRPr="00D11C96">
        <w:rPr>
          <w:rFonts w:ascii="Garamond" w:hAnsi="Garamond"/>
          <w:b/>
          <w:bCs/>
          <w:sz w:val="22"/>
          <w:szCs w:val="22"/>
        </w:rPr>
        <w:t>Resolución 1527 de 2012</w:t>
      </w:r>
      <w:r w:rsidRPr="00D11C96">
        <w:rPr>
          <w:rFonts w:ascii="Garamond" w:hAnsi="Garamond"/>
          <w:sz w:val="22"/>
          <w:szCs w:val="22"/>
        </w:rPr>
        <w:t xml:space="preserve">, que solo permite actividades de bajo impacto. La evidencia muestra que </w:t>
      </w:r>
      <w:r w:rsidRPr="00D11C96">
        <w:rPr>
          <w:rFonts w:ascii="Garamond" w:hAnsi="Garamond"/>
          <w:b/>
          <w:bCs/>
          <w:sz w:val="22"/>
          <w:szCs w:val="22"/>
        </w:rPr>
        <w:t>estos proyectos han generado afectaciones sobre comunidades locales</w:t>
      </w:r>
      <w:r w:rsidRPr="00D11C96">
        <w:rPr>
          <w:rFonts w:ascii="Garamond" w:hAnsi="Garamond"/>
          <w:sz w:val="22"/>
          <w:szCs w:val="22"/>
        </w:rPr>
        <w:t>, incrementando tensiones por la disponibilidad hídric</w:t>
      </w:r>
      <w:r w:rsidRPr="00D11C96" w:rsidR="00AC6103">
        <w:rPr>
          <w:rFonts w:ascii="Garamond" w:hAnsi="Garamond"/>
          <w:sz w:val="22"/>
          <w:szCs w:val="22"/>
        </w:rPr>
        <w:t>a.</w:t>
      </w:r>
    </w:p>
    <w:p w:rsidRPr="00D11C96" w:rsidR="00C618B0" w:rsidP="00FF796F" w:rsidRDefault="00C618B0" w14:paraId="7BB63551" w14:textId="55071A44">
      <w:pPr>
        <w:pStyle w:val="Heading2"/>
        <w:numPr>
          <w:ilvl w:val="0"/>
          <w:numId w:val="10"/>
        </w:numPr>
      </w:pPr>
      <w:bookmarkStart w:name="_Toc216938697" w:id="4"/>
      <w:r w:rsidRPr="00D11C96">
        <w:t>Efectos sobre la aplicación de instrumentos</w:t>
      </w:r>
      <w:bookmarkEnd w:id="4"/>
    </w:p>
    <w:p w:rsidRPr="00D11C96" w:rsidR="00861E7C" w:rsidP="005C1E2E" w:rsidRDefault="00861E7C" w14:paraId="7D837956" w14:textId="4855033E">
      <w:pPr>
        <w:jc w:val="both"/>
        <w:rPr>
          <w:rFonts w:ascii="Garamond" w:hAnsi="Garamond"/>
          <w:sz w:val="22"/>
          <w:szCs w:val="22"/>
        </w:rPr>
      </w:pPr>
      <w:r w:rsidRPr="00D11C96">
        <w:rPr>
          <w:rFonts w:ascii="Garamond" w:hAnsi="Garamond"/>
          <w:sz w:val="22"/>
          <w:szCs w:val="22"/>
        </w:rPr>
        <w:t xml:space="preserve">La expedición de la presente Resolución </w:t>
      </w:r>
      <w:r w:rsidRPr="00D11C96" w:rsidR="005C1E2E">
        <w:rPr>
          <w:rFonts w:ascii="Garamond" w:hAnsi="Garamond"/>
          <w:sz w:val="22"/>
          <w:szCs w:val="22"/>
        </w:rPr>
        <w:t>y s</w:t>
      </w:r>
      <w:r w:rsidRPr="00D11C96">
        <w:rPr>
          <w:rFonts w:ascii="Garamond" w:hAnsi="Garamond"/>
          <w:sz w:val="22"/>
          <w:szCs w:val="22"/>
        </w:rPr>
        <w:t xml:space="preserve">u </w:t>
      </w:r>
      <w:r w:rsidRPr="00D11C96" w:rsidR="005C1E2E">
        <w:rPr>
          <w:rFonts w:ascii="Garamond" w:hAnsi="Garamond"/>
          <w:sz w:val="22"/>
          <w:szCs w:val="22"/>
        </w:rPr>
        <w:t>entrada en vigor</w:t>
      </w:r>
      <w:r w:rsidRPr="00D11C96">
        <w:rPr>
          <w:rFonts w:ascii="Garamond" w:hAnsi="Garamond"/>
          <w:sz w:val="22"/>
          <w:szCs w:val="22"/>
        </w:rPr>
        <w:t xml:space="preserve"> no supone una ruptura con los instrumentos preexistentes, sino que actúa como un mecanismo de armonización y cierre de brechas normativas, </w:t>
      </w:r>
      <w:r w:rsidRPr="00D11C96" w:rsidR="005C1E2E">
        <w:rPr>
          <w:rFonts w:ascii="Garamond" w:hAnsi="Garamond"/>
          <w:sz w:val="22"/>
          <w:szCs w:val="22"/>
        </w:rPr>
        <w:t xml:space="preserve">que en sinergia con </w:t>
      </w:r>
      <w:r w:rsidRPr="00D11C96">
        <w:rPr>
          <w:rFonts w:ascii="Garamond" w:hAnsi="Garamond"/>
          <w:sz w:val="22"/>
          <w:szCs w:val="22"/>
        </w:rPr>
        <w:t>las órdenes impartidas por el Consejo de Estado en la Sentencia del Río Bogotá (</w:t>
      </w:r>
      <w:proofErr w:type="spellStart"/>
      <w:r w:rsidRPr="00D11C96">
        <w:rPr>
          <w:rFonts w:ascii="Garamond" w:hAnsi="Garamond"/>
          <w:sz w:val="22"/>
          <w:szCs w:val="22"/>
        </w:rPr>
        <w:t>Exp</w:t>
      </w:r>
      <w:proofErr w:type="spellEnd"/>
      <w:r w:rsidRPr="00D11C96">
        <w:rPr>
          <w:rFonts w:ascii="Garamond" w:hAnsi="Garamond"/>
          <w:sz w:val="22"/>
          <w:szCs w:val="22"/>
        </w:rPr>
        <w:t>. 2001-90479)</w:t>
      </w:r>
      <w:r w:rsidRPr="00D11C96" w:rsidR="005C1E2E">
        <w:rPr>
          <w:rFonts w:ascii="Garamond" w:hAnsi="Garamond"/>
          <w:sz w:val="22"/>
          <w:szCs w:val="22"/>
        </w:rPr>
        <w:t xml:space="preserve"> aportan a la integridad ecológica de la Sabana de Bogotá y la reducción de su endurecimiento.</w:t>
      </w:r>
      <w:r w:rsidRPr="00D11C96">
        <w:rPr>
          <w:rFonts w:ascii="Garamond" w:hAnsi="Garamond"/>
          <w:sz w:val="22"/>
          <w:szCs w:val="22"/>
        </w:rPr>
        <w:t xml:space="preserve"> </w:t>
      </w:r>
    </w:p>
    <w:p w:rsidRPr="00D11C96" w:rsidR="001E706D" w:rsidP="001E706D" w:rsidRDefault="001E706D" w14:paraId="664D0539" w14:textId="58BAAB3D">
      <w:pPr>
        <w:jc w:val="both"/>
        <w:rPr>
          <w:rFonts w:ascii="Garamond" w:hAnsi="Garamond"/>
          <w:sz w:val="22"/>
          <w:szCs w:val="22"/>
        </w:rPr>
      </w:pPr>
      <w:r w:rsidRPr="00D11C96">
        <w:rPr>
          <w:rFonts w:ascii="Garamond" w:hAnsi="Garamond"/>
          <w:sz w:val="22"/>
          <w:szCs w:val="22"/>
        </w:rPr>
        <w:t xml:space="preserve">Como cuadro recopilatorio a continuación se relaciona una matriz que enlista los instrumentos de gestión incluidos en la </w:t>
      </w:r>
      <w:r w:rsidRPr="00D11C96" w:rsidR="00374137">
        <w:rPr>
          <w:rFonts w:ascii="Garamond" w:hAnsi="Garamond"/>
          <w:sz w:val="22"/>
          <w:szCs w:val="22"/>
        </w:rPr>
        <w:t>sentencia</w:t>
      </w:r>
      <w:r w:rsidRPr="00D11C96">
        <w:rPr>
          <w:rFonts w:ascii="Garamond" w:hAnsi="Garamond"/>
          <w:sz w:val="22"/>
          <w:szCs w:val="22"/>
        </w:rPr>
        <w:t xml:space="preserve"> del Rio Bogotá y que fueron identificados, discutidos y aclarados en el marco de la sesión </w:t>
      </w:r>
      <w:proofErr w:type="spellStart"/>
      <w:r w:rsidRPr="00D11C96">
        <w:rPr>
          <w:rFonts w:ascii="Garamond" w:hAnsi="Garamond"/>
          <w:sz w:val="22"/>
          <w:szCs w:val="22"/>
        </w:rPr>
        <w:t>N°</w:t>
      </w:r>
      <w:proofErr w:type="spellEnd"/>
      <w:r w:rsidRPr="00D11C96">
        <w:rPr>
          <w:rFonts w:ascii="Garamond" w:hAnsi="Garamond"/>
          <w:sz w:val="22"/>
          <w:szCs w:val="22"/>
        </w:rPr>
        <w:t xml:space="preserve"> 57 del CECH:</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374"/>
        <w:gridCol w:w="1121"/>
        <w:gridCol w:w="4855"/>
      </w:tblGrid>
      <w:tr w:rsidRPr="00D11C96" w:rsidR="00374137" w:rsidTr="00515ED2" w14:paraId="3DFCA246" w14:textId="77777777">
        <w:trPr>
          <w:trHeight w:val="270"/>
          <w:jc w:val="center"/>
        </w:trPr>
        <w:tc>
          <w:tcPr>
            <w:tcW w:w="3374" w:type="dxa"/>
            <w:tcMar>
              <w:top w:w="15" w:type="dxa"/>
              <w:left w:w="15" w:type="dxa"/>
              <w:right w:w="15" w:type="dxa"/>
            </w:tcMar>
            <w:vAlign w:val="center"/>
          </w:tcPr>
          <w:p w:rsidRPr="00425653" w:rsidR="00374137" w:rsidP="00515ED2" w:rsidRDefault="00374137" w14:paraId="33CE49C7" w14:textId="77777777">
            <w:pPr>
              <w:spacing w:after="0"/>
              <w:jc w:val="center"/>
              <w:rPr>
                <w:b/>
                <w:bCs/>
              </w:rPr>
            </w:pPr>
            <w:r w:rsidRPr="00425653">
              <w:rPr>
                <w:rFonts w:ascii="Times New Roman" w:hAnsi="Times New Roman" w:eastAsia="Times New Roman" w:cs="Times New Roman"/>
                <w:b/>
                <w:bCs/>
                <w:color w:val="000000" w:themeColor="text1"/>
                <w:sz w:val="20"/>
                <w:szCs w:val="20"/>
              </w:rPr>
              <w:t>Instrumento de gestión</w:t>
            </w:r>
          </w:p>
        </w:tc>
        <w:tc>
          <w:tcPr>
            <w:tcW w:w="1121" w:type="dxa"/>
            <w:vAlign w:val="center"/>
          </w:tcPr>
          <w:p w:rsidRPr="00425653" w:rsidR="00374137" w:rsidP="00515ED2" w:rsidRDefault="00374137" w14:paraId="1FABBFAE" w14:textId="6C659206">
            <w:pPr>
              <w:spacing w:after="0"/>
              <w:jc w:val="center"/>
              <w:rPr>
                <w:rFonts w:ascii="Times New Roman" w:hAnsi="Times New Roman" w:eastAsia="Times New Roman" w:cs="Times New Roman"/>
                <w:b/>
                <w:bCs/>
                <w:color w:val="000000" w:themeColor="text1"/>
                <w:sz w:val="20"/>
                <w:szCs w:val="20"/>
              </w:rPr>
            </w:pPr>
            <w:r w:rsidRPr="00425653">
              <w:rPr>
                <w:rFonts w:ascii="Times New Roman" w:hAnsi="Times New Roman" w:eastAsia="Times New Roman" w:cs="Times New Roman"/>
                <w:b/>
                <w:bCs/>
                <w:color w:val="000000" w:themeColor="text1"/>
                <w:sz w:val="20"/>
                <w:szCs w:val="20"/>
              </w:rPr>
              <w:t>Orden</w:t>
            </w:r>
          </w:p>
        </w:tc>
        <w:tc>
          <w:tcPr>
            <w:tcW w:w="4855" w:type="dxa"/>
            <w:tcMar>
              <w:top w:w="15" w:type="dxa"/>
              <w:left w:w="15" w:type="dxa"/>
              <w:right w:w="15" w:type="dxa"/>
            </w:tcMar>
            <w:vAlign w:val="center"/>
          </w:tcPr>
          <w:p w:rsidRPr="00425653" w:rsidR="00374137" w:rsidP="00515ED2" w:rsidRDefault="00374137" w14:paraId="0BF12A9E" w14:textId="7F45466D">
            <w:pPr>
              <w:spacing w:after="0"/>
              <w:jc w:val="center"/>
              <w:rPr>
                <w:b/>
                <w:bCs/>
              </w:rPr>
            </w:pPr>
            <w:r w:rsidRPr="00425653">
              <w:rPr>
                <w:rFonts w:ascii="Times New Roman" w:hAnsi="Times New Roman" w:eastAsia="Times New Roman" w:cs="Times New Roman"/>
                <w:b/>
                <w:bCs/>
                <w:color w:val="000000" w:themeColor="text1"/>
                <w:sz w:val="20"/>
                <w:szCs w:val="20"/>
              </w:rPr>
              <w:t>Aplicabilidad desde las directrices</w:t>
            </w:r>
          </w:p>
        </w:tc>
      </w:tr>
      <w:tr w:rsidRPr="00D11C96" w:rsidR="00374137" w:rsidTr="00515ED2" w14:paraId="0F98E85B" w14:textId="77777777">
        <w:trPr>
          <w:trHeight w:val="270"/>
          <w:jc w:val="center"/>
        </w:trPr>
        <w:tc>
          <w:tcPr>
            <w:tcW w:w="3374" w:type="dxa"/>
            <w:tcMar>
              <w:top w:w="15" w:type="dxa"/>
              <w:left w:w="15" w:type="dxa"/>
              <w:right w:w="15" w:type="dxa"/>
            </w:tcMar>
            <w:vAlign w:val="center"/>
          </w:tcPr>
          <w:p w:rsidRPr="00D11C96" w:rsidR="00374137" w:rsidP="00515ED2" w:rsidRDefault="00374137" w14:paraId="1FEA3E15" w14:textId="77777777">
            <w:pPr>
              <w:spacing w:after="0"/>
              <w:jc w:val="center"/>
            </w:pPr>
            <w:r w:rsidRPr="00D11C96">
              <w:rPr>
                <w:rFonts w:ascii="Times New Roman" w:hAnsi="Times New Roman" w:eastAsia="Times New Roman" w:cs="Times New Roman"/>
                <w:color w:val="000000" w:themeColor="text1"/>
                <w:sz w:val="20"/>
                <w:szCs w:val="20"/>
              </w:rPr>
              <w:t>POMCA</w:t>
            </w:r>
          </w:p>
        </w:tc>
        <w:tc>
          <w:tcPr>
            <w:tcW w:w="1121" w:type="dxa"/>
            <w:vAlign w:val="center"/>
          </w:tcPr>
          <w:p w:rsidRPr="00D11C96" w:rsidR="00374137" w:rsidP="00515ED2" w:rsidRDefault="00374137" w14:paraId="42E85EC4" w14:textId="351E1770">
            <w:pPr>
              <w:spacing w:after="0"/>
              <w:jc w:val="center"/>
              <w:rPr>
                <w:rFonts w:ascii="Times New Roman" w:hAnsi="Times New Roman" w:eastAsia="Times New Roman" w:cs="Times New Roman"/>
                <w:color w:val="000000" w:themeColor="text1"/>
                <w:sz w:val="20"/>
                <w:szCs w:val="20"/>
              </w:rPr>
            </w:pPr>
            <w:r w:rsidRPr="00D11C96">
              <w:rPr>
                <w:rFonts w:ascii="Times New Roman" w:hAnsi="Times New Roman" w:eastAsia="Times New Roman" w:cs="Times New Roman"/>
                <w:color w:val="000000" w:themeColor="text1"/>
                <w:sz w:val="20"/>
                <w:szCs w:val="20"/>
              </w:rPr>
              <w:t>Orden 4.7</w:t>
            </w:r>
          </w:p>
        </w:tc>
        <w:tc>
          <w:tcPr>
            <w:tcW w:w="4855" w:type="dxa"/>
            <w:tcMar>
              <w:top w:w="15" w:type="dxa"/>
              <w:left w:w="15" w:type="dxa"/>
              <w:right w:w="15" w:type="dxa"/>
            </w:tcMar>
            <w:vAlign w:val="center"/>
          </w:tcPr>
          <w:p w:rsidRPr="00D11C96" w:rsidR="00374137" w:rsidP="00F90AE9" w:rsidRDefault="00424E6E" w14:paraId="785C7F9F" w14:textId="25798B5E">
            <w:pPr>
              <w:spacing w:after="0"/>
              <w:jc w:val="center"/>
              <w:rPr>
                <w:rFonts w:ascii="Times New Roman" w:hAnsi="Times New Roman" w:eastAsia="Times New Roman" w:cs="Times New Roman"/>
                <w:color w:val="000000" w:themeColor="text1"/>
                <w:sz w:val="20"/>
                <w:szCs w:val="20"/>
              </w:rPr>
            </w:pPr>
            <w:r w:rsidRPr="00D11C96">
              <w:rPr>
                <w:rFonts w:ascii="Garamond" w:hAnsi="Garamond"/>
                <w:sz w:val="22"/>
                <w:szCs w:val="22"/>
              </w:rPr>
              <w:t>En relación con el Plan de Ordenación y Manejo de la Cuenca Hidrográfica (POMCA) del Río Bogotá, la Resolución respeta la vigencia y la obligatoriedad de este instrumento, reconociéndolo como una situación jurídica consolidada</w:t>
            </w:r>
            <w:r w:rsidR="004E7213">
              <w:rPr>
                <w:rFonts w:ascii="Garamond" w:hAnsi="Garamond"/>
                <w:sz w:val="22"/>
                <w:szCs w:val="22"/>
              </w:rPr>
              <w:t xml:space="preserve"> en los términos del proyecto de resolución</w:t>
            </w:r>
            <w:r w:rsidRPr="00D11C96">
              <w:rPr>
                <w:rFonts w:ascii="Garamond" w:hAnsi="Garamond"/>
                <w:sz w:val="22"/>
                <w:szCs w:val="22"/>
              </w:rPr>
              <w:t>. No obstante, se genera una sinergia operativa: mientras el POMCA establece la zonificación ambiental a una escala regional, la Resolución profundiza en la precisión de dichas áreas para su incorporación en el ordenamiento municipal desde su enfoque cartográfico.</w:t>
            </w:r>
          </w:p>
        </w:tc>
      </w:tr>
      <w:tr w:rsidRPr="00D11C96" w:rsidR="00374137" w:rsidTr="00515ED2" w14:paraId="438EEF09" w14:textId="77777777">
        <w:trPr>
          <w:trHeight w:val="270"/>
          <w:jc w:val="center"/>
        </w:trPr>
        <w:tc>
          <w:tcPr>
            <w:tcW w:w="3374" w:type="dxa"/>
            <w:tcMar>
              <w:top w:w="15" w:type="dxa"/>
              <w:left w:w="15" w:type="dxa"/>
              <w:right w:w="15" w:type="dxa"/>
            </w:tcMar>
            <w:vAlign w:val="center"/>
          </w:tcPr>
          <w:p w:rsidRPr="000B49EC" w:rsidR="00374137" w:rsidP="00515ED2" w:rsidRDefault="00374137" w14:paraId="7816AC9E" w14:textId="261BBE2A">
            <w:pPr>
              <w:spacing w:after="0"/>
              <w:jc w:val="center"/>
              <w:rPr>
                <w:rFonts w:ascii="Garamond" w:hAnsi="Garamond"/>
                <w:sz w:val="22"/>
                <w:szCs w:val="22"/>
              </w:rPr>
            </w:pPr>
            <w:r w:rsidRPr="000B49EC">
              <w:rPr>
                <w:rFonts w:ascii="Garamond" w:hAnsi="Garamond"/>
                <w:sz w:val="22"/>
                <w:szCs w:val="22"/>
              </w:rPr>
              <w:t>Planes de acción</w:t>
            </w:r>
            <w:r w:rsidRPr="000B49EC" w:rsidR="00CB375F">
              <w:rPr>
                <w:rFonts w:ascii="Garamond" w:hAnsi="Garamond"/>
                <w:sz w:val="22"/>
                <w:szCs w:val="22"/>
              </w:rPr>
              <w:t xml:space="preserve"> consensuados</w:t>
            </w:r>
          </w:p>
        </w:tc>
        <w:tc>
          <w:tcPr>
            <w:tcW w:w="1121" w:type="dxa"/>
            <w:vAlign w:val="center"/>
          </w:tcPr>
          <w:p w:rsidRPr="000B49EC" w:rsidR="00374137" w:rsidP="00515ED2" w:rsidRDefault="00CB375F" w14:paraId="6F95818B" w14:textId="7203E91E">
            <w:pPr>
              <w:spacing w:after="0"/>
              <w:jc w:val="center"/>
              <w:rPr>
                <w:rFonts w:ascii="Garamond" w:hAnsi="Garamond"/>
                <w:sz w:val="22"/>
                <w:szCs w:val="22"/>
              </w:rPr>
            </w:pPr>
            <w:r w:rsidRPr="000B49EC">
              <w:rPr>
                <w:rFonts w:ascii="Garamond" w:hAnsi="Garamond"/>
                <w:sz w:val="22"/>
                <w:szCs w:val="22"/>
              </w:rPr>
              <w:t>Orden 4.13</w:t>
            </w:r>
          </w:p>
        </w:tc>
        <w:tc>
          <w:tcPr>
            <w:tcW w:w="4855" w:type="dxa"/>
            <w:tcMar>
              <w:top w:w="15" w:type="dxa"/>
              <w:left w:w="15" w:type="dxa"/>
              <w:right w:w="15" w:type="dxa"/>
            </w:tcMar>
            <w:vAlign w:val="center"/>
          </w:tcPr>
          <w:p w:rsidRPr="00046D4B" w:rsidR="00374137" w:rsidP="00515ED2" w:rsidRDefault="000B49EC" w14:paraId="18E92721" w14:textId="7AF49AD7">
            <w:pPr>
              <w:spacing w:after="0"/>
              <w:jc w:val="center"/>
              <w:rPr>
                <w:highlight w:val="red"/>
              </w:rPr>
            </w:pPr>
            <w:r w:rsidRPr="00D11C96">
              <w:rPr>
                <w:rFonts w:ascii="Garamond" w:hAnsi="Garamond"/>
                <w:sz w:val="22"/>
                <w:szCs w:val="22"/>
              </w:rPr>
              <w:t>la resolución, no modifica situaciones jurídicas consolidadas</w:t>
            </w:r>
          </w:p>
        </w:tc>
      </w:tr>
      <w:tr w:rsidRPr="00D11C96" w:rsidR="00374137" w:rsidTr="00515ED2" w14:paraId="628918A7" w14:textId="77777777">
        <w:trPr>
          <w:trHeight w:val="270"/>
          <w:jc w:val="center"/>
        </w:trPr>
        <w:tc>
          <w:tcPr>
            <w:tcW w:w="3374" w:type="dxa"/>
            <w:tcMar>
              <w:top w:w="15" w:type="dxa"/>
              <w:left w:w="15" w:type="dxa"/>
              <w:right w:w="15" w:type="dxa"/>
            </w:tcMar>
            <w:vAlign w:val="center"/>
          </w:tcPr>
          <w:p w:rsidRPr="00D11C96" w:rsidR="00374137" w:rsidP="00515ED2" w:rsidRDefault="00374137" w14:paraId="5D750223" w14:textId="77777777">
            <w:pPr>
              <w:spacing w:after="0"/>
              <w:jc w:val="center"/>
            </w:pPr>
            <w:r w:rsidRPr="00D11C96">
              <w:rPr>
                <w:rFonts w:ascii="Times New Roman" w:hAnsi="Times New Roman" w:eastAsia="Times New Roman" w:cs="Times New Roman"/>
                <w:color w:val="000000" w:themeColor="text1"/>
                <w:sz w:val="20"/>
                <w:szCs w:val="20"/>
              </w:rPr>
              <w:t>POT, PBOT Y EOT</w:t>
            </w:r>
          </w:p>
        </w:tc>
        <w:tc>
          <w:tcPr>
            <w:tcW w:w="1121" w:type="dxa"/>
            <w:vAlign w:val="center"/>
          </w:tcPr>
          <w:p w:rsidRPr="00D11C96" w:rsidR="00374137" w:rsidP="00515ED2" w:rsidRDefault="00CB375F" w14:paraId="36375A9B" w14:textId="099F8AA8">
            <w:pPr>
              <w:spacing w:after="0"/>
              <w:jc w:val="center"/>
              <w:rPr>
                <w:rFonts w:ascii="Times New Roman" w:hAnsi="Times New Roman" w:eastAsia="Times New Roman" w:cs="Times New Roman"/>
                <w:color w:val="000000" w:themeColor="text1"/>
                <w:sz w:val="20"/>
                <w:szCs w:val="20"/>
              </w:rPr>
            </w:pPr>
            <w:r w:rsidRPr="00D11C96">
              <w:rPr>
                <w:rFonts w:ascii="Times New Roman" w:hAnsi="Times New Roman" w:eastAsia="Times New Roman" w:cs="Times New Roman"/>
                <w:color w:val="000000" w:themeColor="text1"/>
                <w:sz w:val="20"/>
                <w:szCs w:val="20"/>
              </w:rPr>
              <w:t>Orden 4.1</w:t>
            </w:r>
            <w:r w:rsidRPr="00D11C96" w:rsidR="0090578C">
              <w:rPr>
                <w:rFonts w:ascii="Times New Roman" w:hAnsi="Times New Roman" w:eastAsia="Times New Roman" w:cs="Times New Roman"/>
                <w:color w:val="000000" w:themeColor="text1"/>
                <w:sz w:val="20"/>
                <w:szCs w:val="20"/>
              </w:rPr>
              <w:t>8</w:t>
            </w:r>
          </w:p>
        </w:tc>
        <w:tc>
          <w:tcPr>
            <w:tcW w:w="4855" w:type="dxa"/>
            <w:tcMar>
              <w:top w:w="15" w:type="dxa"/>
              <w:left w:w="15" w:type="dxa"/>
              <w:right w:w="15" w:type="dxa"/>
            </w:tcMar>
            <w:vAlign w:val="center"/>
          </w:tcPr>
          <w:p w:rsidRPr="00D11C96" w:rsidR="00C263B7" w:rsidP="00C263B7" w:rsidRDefault="00763F7F" w14:paraId="3307DD12" w14:textId="6A1D9B65">
            <w:pPr>
              <w:jc w:val="both"/>
              <w:rPr>
                <w:rFonts w:ascii="Garamond" w:hAnsi="Garamond"/>
                <w:sz w:val="22"/>
                <w:szCs w:val="22"/>
              </w:rPr>
            </w:pPr>
            <w:r w:rsidRPr="00D11C96">
              <w:rPr>
                <w:rFonts w:ascii="Garamond" w:hAnsi="Garamond"/>
                <w:sz w:val="22"/>
                <w:szCs w:val="22"/>
              </w:rPr>
              <w:t xml:space="preserve">El principal efecto de la Resolución es la aplicación de directrices de ordenamiento ambiental, asegurando que las determinantes ambientales se conviertan en normas de superior jerarquía dentro de los Planes de Ordenamiento Territorial (POT), PBOT y EOT de los municipios de la Sabana </w:t>
            </w:r>
            <w:r w:rsidRPr="00D11C96">
              <w:rPr>
                <w:rFonts w:ascii="Garamond" w:hAnsi="Garamond"/>
                <w:b/>
                <w:bCs/>
                <w:sz w:val="22"/>
                <w:szCs w:val="22"/>
              </w:rPr>
              <w:t>que no se encuentren actualmente adoptados</w:t>
            </w:r>
            <w:r w:rsidRPr="00D11C96" w:rsidR="002944D7">
              <w:rPr>
                <w:rFonts w:ascii="Garamond" w:hAnsi="Garamond"/>
                <w:b/>
                <w:bCs/>
                <w:sz w:val="22"/>
                <w:szCs w:val="22"/>
              </w:rPr>
              <w:t xml:space="preserve"> </w:t>
            </w:r>
            <w:r w:rsidRPr="00D11C96" w:rsidR="00BE62E1">
              <w:rPr>
                <w:rFonts w:ascii="Garamond" w:hAnsi="Garamond"/>
                <w:b/>
                <w:bCs/>
                <w:sz w:val="22"/>
                <w:szCs w:val="22"/>
              </w:rPr>
              <w:t xml:space="preserve">y que no cuenten con la </w:t>
            </w:r>
            <w:r w:rsidRPr="00D11C96" w:rsidR="002944D7">
              <w:rPr>
                <w:rFonts w:ascii="Garamond" w:hAnsi="Garamond"/>
                <w:b/>
                <w:bCs/>
                <w:sz w:val="22"/>
                <w:szCs w:val="22"/>
              </w:rPr>
              <w:t>respectiva concertación ambiental</w:t>
            </w:r>
            <w:r w:rsidRPr="00D11C96" w:rsidR="00C263B7">
              <w:rPr>
                <w:rFonts w:ascii="Garamond" w:hAnsi="Garamond"/>
                <w:sz w:val="22"/>
                <w:szCs w:val="22"/>
              </w:rPr>
              <w:t xml:space="preserve"> lo que implica que, al momento de la revisión y ajuste de los POT, los </w:t>
            </w:r>
            <w:r w:rsidRPr="00D11C96" w:rsidR="00C263B7">
              <w:rPr>
                <w:rFonts w:ascii="Garamond" w:hAnsi="Garamond"/>
                <w:sz w:val="22"/>
                <w:szCs w:val="22"/>
              </w:rPr>
              <w:t>municipios deberán aplicar las directrices de la Resolución como determinantes de nivel 1 (según el artículo 10 de la Ley 388 de 1997).</w:t>
            </w:r>
          </w:p>
          <w:p w:rsidRPr="00D11C96" w:rsidR="00763F7F" w:rsidP="00763F7F" w:rsidRDefault="002E216B" w14:paraId="2CE78460" w14:textId="7E0B42A6">
            <w:pPr>
              <w:jc w:val="both"/>
              <w:rPr>
                <w:rFonts w:ascii="Garamond" w:hAnsi="Garamond"/>
                <w:sz w:val="22"/>
                <w:szCs w:val="22"/>
              </w:rPr>
            </w:pPr>
            <w:r w:rsidRPr="00D11C96">
              <w:rPr>
                <w:rFonts w:ascii="Garamond" w:hAnsi="Garamond"/>
                <w:sz w:val="22"/>
                <w:szCs w:val="22"/>
              </w:rPr>
              <w:t>Es importante tener en cuenta, que la resolución,</w:t>
            </w:r>
            <w:r w:rsidRPr="00D11C96" w:rsidR="00FE455A">
              <w:rPr>
                <w:rFonts w:ascii="Garamond" w:hAnsi="Garamond"/>
                <w:sz w:val="22"/>
                <w:szCs w:val="22"/>
              </w:rPr>
              <w:t xml:space="preserve"> no modifica situaciones jurídicas consolidadas, tales como los planes de ordenamiento territorial adoptados o con concertación ambiental, los planes parciales adoptados o concertación ambiental y los permisos y las licencias urbanísticas y ambientales vigentes</w:t>
            </w:r>
          </w:p>
          <w:p w:rsidRPr="00D11C96" w:rsidR="00374137" w:rsidP="00515ED2" w:rsidRDefault="00374137" w14:paraId="6CDFD8B2" w14:textId="2BE5920E">
            <w:pPr>
              <w:spacing w:after="0"/>
              <w:jc w:val="center"/>
            </w:pPr>
          </w:p>
        </w:tc>
      </w:tr>
      <w:tr w:rsidRPr="00D11C96" w:rsidR="00374137" w:rsidTr="00515ED2" w14:paraId="190B52E3" w14:textId="77777777">
        <w:trPr>
          <w:trHeight w:val="270"/>
          <w:jc w:val="center"/>
        </w:trPr>
        <w:tc>
          <w:tcPr>
            <w:tcW w:w="3374" w:type="dxa"/>
            <w:tcMar>
              <w:top w:w="15" w:type="dxa"/>
              <w:left w:w="15" w:type="dxa"/>
              <w:right w:w="15" w:type="dxa"/>
            </w:tcMar>
            <w:vAlign w:val="center"/>
          </w:tcPr>
          <w:p w:rsidRPr="00D11C96" w:rsidR="00374137" w:rsidP="00515ED2" w:rsidRDefault="00374137" w14:paraId="40839F67" w14:textId="3855F6AD">
            <w:pPr>
              <w:spacing w:after="0"/>
              <w:jc w:val="center"/>
            </w:pPr>
            <w:r w:rsidRPr="00D11C96">
              <w:rPr>
                <w:rFonts w:ascii="Times New Roman" w:hAnsi="Times New Roman" w:eastAsia="Times New Roman" w:cs="Times New Roman"/>
                <w:color w:val="000000" w:themeColor="text1"/>
                <w:sz w:val="20"/>
                <w:szCs w:val="20"/>
              </w:rPr>
              <w:t xml:space="preserve">Planes de Manejo Ambiental </w:t>
            </w:r>
            <w:r w:rsidRPr="00D11C96" w:rsidR="0051590B">
              <w:rPr>
                <w:rFonts w:ascii="Times New Roman" w:hAnsi="Times New Roman" w:eastAsia="Times New Roman" w:cs="Times New Roman"/>
                <w:color w:val="000000" w:themeColor="text1"/>
                <w:sz w:val="20"/>
                <w:szCs w:val="20"/>
              </w:rPr>
              <w:t>–</w:t>
            </w:r>
            <w:r w:rsidRPr="00D11C96">
              <w:rPr>
                <w:rFonts w:ascii="Times New Roman" w:hAnsi="Times New Roman" w:eastAsia="Times New Roman" w:cs="Times New Roman"/>
                <w:color w:val="000000" w:themeColor="text1"/>
                <w:sz w:val="20"/>
                <w:szCs w:val="20"/>
              </w:rPr>
              <w:t xml:space="preserve"> PMA</w:t>
            </w:r>
            <w:r w:rsidRPr="00D11C96" w:rsidR="007E5116">
              <w:rPr>
                <w:rFonts w:ascii="Times New Roman" w:hAnsi="Times New Roman" w:eastAsia="Times New Roman" w:cs="Times New Roman"/>
                <w:color w:val="000000" w:themeColor="text1"/>
                <w:sz w:val="20"/>
                <w:szCs w:val="20"/>
              </w:rPr>
              <w:t xml:space="preserve">, </w:t>
            </w:r>
            <w:r w:rsidRPr="00D11C96" w:rsidR="0051590B">
              <w:rPr>
                <w:rFonts w:ascii="Times New Roman" w:hAnsi="Times New Roman" w:eastAsia="Times New Roman" w:cs="Times New Roman"/>
                <w:color w:val="000000" w:themeColor="text1"/>
                <w:sz w:val="20"/>
                <w:szCs w:val="20"/>
              </w:rPr>
              <w:t>Plan Maestro de Acueducto</w:t>
            </w:r>
            <w:r w:rsidRPr="00D11C96" w:rsidR="006C142C">
              <w:rPr>
                <w:rFonts w:ascii="Times New Roman" w:hAnsi="Times New Roman" w:eastAsia="Times New Roman" w:cs="Times New Roman"/>
                <w:color w:val="000000" w:themeColor="text1"/>
                <w:sz w:val="20"/>
                <w:szCs w:val="20"/>
              </w:rPr>
              <w:t xml:space="preserve"> y</w:t>
            </w:r>
            <w:r w:rsidRPr="00D11C96" w:rsidR="0051590B">
              <w:rPr>
                <w:rFonts w:ascii="Times New Roman" w:hAnsi="Times New Roman" w:eastAsia="Times New Roman" w:cs="Times New Roman"/>
                <w:color w:val="000000" w:themeColor="text1"/>
                <w:sz w:val="20"/>
                <w:szCs w:val="20"/>
              </w:rPr>
              <w:t xml:space="preserve"> Alcantarillado </w:t>
            </w:r>
            <w:r w:rsidRPr="00D11C96" w:rsidR="007E5116">
              <w:rPr>
                <w:rFonts w:ascii="Times New Roman" w:hAnsi="Times New Roman" w:eastAsia="Times New Roman" w:cs="Times New Roman"/>
                <w:color w:val="000000" w:themeColor="text1"/>
                <w:sz w:val="20"/>
                <w:szCs w:val="20"/>
              </w:rPr>
              <w:t>–</w:t>
            </w:r>
            <w:r w:rsidRPr="00D11C96" w:rsidR="0051590B">
              <w:rPr>
                <w:rFonts w:ascii="Times New Roman" w:hAnsi="Times New Roman" w:eastAsia="Times New Roman" w:cs="Times New Roman"/>
                <w:color w:val="000000" w:themeColor="text1"/>
                <w:sz w:val="20"/>
                <w:szCs w:val="20"/>
              </w:rPr>
              <w:t xml:space="preserve"> PMAA</w:t>
            </w:r>
            <w:r w:rsidRPr="00D11C96" w:rsidR="006C142C">
              <w:rPr>
                <w:rFonts w:ascii="Times New Roman" w:hAnsi="Times New Roman" w:eastAsia="Times New Roman" w:cs="Times New Roman"/>
                <w:color w:val="000000" w:themeColor="text1"/>
                <w:sz w:val="20"/>
                <w:szCs w:val="20"/>
              </w:rPr>
              <w:t>,</w:t>
            </w:r>
            <w:r w:rsidRPr="00D11C96" w:rsidR="007E5116">
              <w:rPr>
                <w:rFonts w:ascii="Times New Roman" w:hAnsi="Times New Roman" w:eastAsia="Times New Roman" w:cs="Times New Roman"/>
                <w:color w:val="000000" w:themeColor="text1"/>
                <w:sz w:val="20"/>
                <w:szCs w:val="20"/>
              </w:rPr>
              <w:t xml:space="preserve"> Planes de Saneamiento y Manejo de Vertimientos </w:t>
            </w:r>
            <w:r w:rsidRPr="00D11C96" w:rsidR="006C142C">
              <w:rPr>
                <w:rFonts w:ascii="Times New Roman" w:hAnsi="Times New Roman" w:eastAsia="Times New Roman" w:cs="Times New Roman"/>
                <w:color w:val="000000" w:themeColor="text1"/>
                <w:sz w:val="20"/>
                <w:szCs w:val="20"/>
              </w:rPr>
              <w:t>–</w:t>
            </w:r>
            <w:r w:rsidRPr="00D11C96" w:rsidR="007E5116">
              <w:rPr>
                <w:rFonts w:ascii="Times New Roman" w:hAnsi="Times New Roman" w:eastAsia="Times New Roman" w:cs="Times New Roman"/>
                <w:color w:val="000000" w:themeColor="text1"/>
                <w:sz w:val="20"/>
                <w:szCs w:val="20"/>
              </w:rPr>
              <w:t xml:space="preserve"> PSMV</w:t>
            </w:r>
            <w:r w:rsidRPr="00D11C96" w:rsidR="006C142C">
              <w:rPr>
                <w:rFonts w:ascii="Times New Roman" w:hAnsi="Times New Roman" w:eastAsia="Times New Roman" w:cs="Times New Roman"/>
                <w:color w:val="000000" w:themeColor="text1"/>
                <w:sz w:val="20"/>
                <w:szCs w:val="20"/>
              </w:rPr>
              <w:t>, Planes de gestión integral de residuos - PGIR</w:t>
            </w:r>
          </w:p>
        </w:tc>
        <w:tc>
          <w:tcPr>
            <w:tcW w:w="1121" w:type="dxa"/>
            <w:vAlign w:val="center"/>
          </w:tcPr>
          <w:p w:rsidRPr="00D11C96" w:rsidR="00374137" w:rsidP="00515ED2" w:rsidRDefault="00CB375F" w14:paraId="023D2022" w14:textId="1F53042A">
            <w:pPr>
              <w:spacing w:after="0"/>
              <w:jc w:val="center"/>
              <w:rPr>
                <w:rFonts w:ascii="Times New Roman" w:hAnsi="Times New Roman" w:eastAsia="Times New Roman" w:cs="Times New Roman"/>
                <w:color w:val="000000" w:themeColor="text1"/>
                <w:sz w:val="20"/>
                <w:szCs w:val="20"/>
              </w:rPr>
            </w:pPr>
            <w:r w:rsidRPr="00D11C96">
              <w:rPr>
                <w:rFonts w:ascii="Times New Roman" w:hAnsi="Times New Roman" w:eastAsia="Times New Roman" w:cs="Times New Roman"/>
                <w:color w:val="000000" w:themeColor="text1"/>
                <w:sz w:val="20"/>
                <w:szCs w:val="20"/>
              </w:rPr>
              <w:t>Orden 4.</w:t>
            </w:r>
            <w:r w:rsidRPr="00D11C96" w:rsidR="0090578C">
              <w:rPr>
                <w:rFonts w:ascii="Times New Roman" w:hAnsi="Times New Roman" w:eastAsia="Times New Roman" w:cs="Times New Roman"/>
                <w:color w:val="000000" w:themeColor="text1"/>
                <w:sz w:val="20"/>
                <w:szCs w:val="20"/>
              </w:rPr>
              <w:t>19</w:t>
            </w:r>
            <w:r w:rsidRPr="00D11C96" w:rsidR="007E5116">
              <w:rPr>
                <w:rFonts w:ascii="Times New Roman" w:hAnsi="Times New Roman" w:eastAsia="Times New Roman" w:cs="Times New Roman"/>
                <w:color w:val="000000" w:themeColor="text1"/>
                <w:sz w:val="20"/>
                <w:szCs w:val="20"/>
              </w:rPr>
              <w:t xml:space="preserve">, </w:t>
            </w:r>
            <w:r w:rsidRPr="00D11C96" w:rsidR="0051590B">
              <w:rPr>
                <w:rFonts w:ascii="Times New Roman" w:hAnsi="Times New Roman" w:eastAsia="Times New Roman" w:cs="Times New Roman"/>
                <w:color w:val="000000" w:themeColor="text1"/>
                <w:sz w:val="20"/>
                <w:szCs w:val="20"/>
              </w:rPr>
              <w:t>4.20</w:t>
            </w:r>
            <w:r w:rsidRPr="00D11C96" w:rsidR="006C142C">
              <w:rPr>
                <w:rFonts w:ascii="Times New Roman" w:hAnsi="Times New Roman" w:eastAsia="Times New Roman" w:cs="Times New Roman"/>
                <w:color w:val="000000" w:themeColor="text1"/>
                <w:sz w:val="20"/>
                <w:szCs w:val="20"/>
              </w:rPr>
              <w:t>,</w:t>
            </w:r>
            <w:r w:rsidRPr="00D11C96" w:rsidR="007E5116">
              <w:rPr>
                <w:rFonts w:ascii="Times New Roman" w:hAnsi="Times New Roman" w:eastAsia="Times New Roman" w:cs="Times New Roman"/>
                <w:color w:val="000000" w:themeColor="text1"/>
                <w:sz w:val="20"/>
                <w:szCs w:val="20"/>
              </w:rPr>
              <w:t xml:space="preserve"> 4.21</w:t>
            </w:r>
            <w:r w:rsidRPr="00D11C96" w:rsidR="006C142C">
              <w:rPr>
                <w:rFonts w:ascii="Times New Roman" w:hAnsi="Times New Roman" w:eastAsia="Times New Roman" w:cs="Times New Roman"/>
                <w:color w:val="000000" w:themeColor="text1"/>
                <w:sz w:val="20"/>
                <w:szCs w:val="20"/>
              </w:rPr>
              <w:t xml:space="preserve"> y 4.22</w:t>
            </w:r>
          </w:p>
        </w:tc>
        <w:tc>
          <w:tcPr>
            <w:tcW w:w="4855" w:type="dxa"/>
            <w:tcMar>
              <w:top w:w="15" w:type="dxa"/>
              <w:left w:w="15" w:type="dxa"/>
              <w:right w:w="15" w:type="dxa"/>
            </w:tcMar>
            <w:vAlign w:val="center"/>
          </w:tcPr>
          <w:p w:rsidRPr="00D11C96" w:rsidR="004E17EE" w:rsidP="007E5116" w:rsidRDefault="0051590B" w14:paraId="4B287778" w14:textId="77777777">
            <w:pPr>
              <w:jc w:val="both"/>
              <w:rPr>
                <w:rFonts w:ascii="Garamond" w:hAnsi="Garamond"/>
                <w:sz w:val="22"/>
                <w:szCs w:val="22"/>
              </w:rPr>
            </w:pPr>
            <w:r w:rsidRPr="00D11C96">
              <w:rPr>
                <w:rFonts w:ascii="Garamond" w:hAnsi="Garamond"/>
                <w:sz w:val="22"/>
                <w:szCs w:val="22"/>
              </w:rPr>
              <w:t>La aplicación de la Resolución introduce algunos efectos en la planificación de la infraestructura de servicios públicos, subordinando la gestión de los servicios públicos a la disponibilidad efectiva del recurso hídrico y a la capacidad de carga de los cuerpos receptores en dos escenarios: (i) Cuando los instrumentos para la gestión de servicios públicos se formulen o actualicen deberán incorporar las directrices de ordenamiento ambiental asociadas. (</w:t>
            </w:r>
            <w:proofErr w:type="spellStart"/>
            <w:r w:rsidRPr="00D11C96">
              <w:rPr>
                <w:rFonts w:ascii="Garamond" w:hAnsi="Garamond"/>
                <w:sz w:val="22"/>
                <w:szCs w:val="22"/>
              </w:rPr>
              <w:t>ii</w:t>
            </w:r>
            <w:proofErr w:type="spellEnd"/>
            <w:r w:rsidRPr="00D11C96">
              <w:rPr>
                <w:rFonts w:ascii="Garamond" w:hAnsi="Garamond"/>
                <w:sz w:val="22"/>
                <w:szCs w:val="22"/>
              </w:rPr>
              <w:t>) Los nuevos proyectos de infraestructura derivados de los actuales y futuros instrumentos de gestión de servicios públicos deberán incorporar las directrices de ordenamiento ambiental que le apliquen.</w:t>
            </w:r>
            <w:r w:rsidRPr="00D11C96" w:rsidR="004E17EE">
              <w:rPr>
                <w:rFonts w:ascii="Garamond" w:hAnsi="Garamond"/>
                <w:sz w:val="22"/>
                <w:szCs w:val="22"/>
              </w:rPr>
              <w:t xml:space="preserve"> </w:t>
            </w:r>
          </w:p>
          <w:p w:rsidRPr="00D11C96" w:rsidR="00374137" w:rsidP="007E5116" w:rsidRDefault="004E17EE" w14:paraId="0F342A9E" w14:textId="77777777">
            <w:pPr>
              <w:jc w:val="both"/>
              <w:rPr>
                <w:rFonts w:ascii="Garamond" w:hAnsi="Garamond"/>
                <w:sz w:val="22"/>
                <w:szCs w:val="22"/>
              </w:rPr>
            </w:pPr>
            <w:r w:rsidRPr="00D11C96">
              <w:rPr>
                <w:rFonts w:ascii="Garamond" w:hAnsi="Garamond"/>
                <w:sz w:val="22"/>
                <w:szCs w:val="22"/>
              </w:rPr>
              <w:t>Para los proyectos de ampliación o de nuevos sistemas de abastecimiento cuya fuente provenga de cuencas diferentes al río Bogotá, las autoridades ambientales deberán generar conceptos" previos que certifiquen el agotamiento de la oferta local y la implementación exhaustiva de medidas de gestión de la demanda. Esto implica que los instrumentos de gestión de servicios (PMAA, PSMV) deberán contar de un mayor sustento técnico para su gestión.</w:t>
            </w:r>
          </w:p>
          <w:p w:rsidRPr="00D11C96" w:rsidR="0090119C" w:rsidP="007E5116" w:rsidRDefault="0090119C" w14:paraId="1486F901" w14:textId="5D02F8D1">
            <w:pPr>
              <w:jc w:val="both"/>
            </w:pPr>
            <w:r w:rsidRPr="00D11C96">
              <w:rPr>
                <w:rFonts w:ascii="Garamond" w:hAnsi="Garamond"/>
                <w:sz w:val="22"/>
                <w:szCs w:val="22"/>
              </w:rPr>
              <w:t>Se reitera también que la resolución no modifica situaciones jurídicas consolidadas.</w:t>
            </w:r>
          </w:p>
        </w:tc>
      </w:tr>
      <w:tr w:rsidRPr="00D11C96" w:rsidR="006F03AC" w:rsidTr="00515ED2" w14:paraId="24D28FF4" w14:textId="77777777">
        <w:trPr>
          <w:trHeight w:val="1050"/>
          <w:jc w:val="center"/>
        </w:trPr>
        <w:tc>
          <w:tcPr>
            <w:tcW w:w="3374" w:type="dxa"/>
            <w:tcMar>
              <w:top w:w="15" w:type="dxa"/>
              <w:left w:w="15" w:type="dxa"/>
              <w:right w:w="15" w:type="dxa"/>
            </w:tcMar>
            <w:vAlign w:val="center"/>
          </w:tcPr>
          <w:p w:rsidRPr="00D11C96" w:rsidR="006F03AC" w:rsidP="00515ED2" w:rsidRDefault="006F03AC" w14:paraId="23997C5B" w14:textId="1DBE670E">
            <w:pPr>
              <w:spacing w:after="0"/>
              <w:jc w:val="center"/>
            </w:pPr>
            <w:r w:rsidRPr="00D11C96">
              <w:rPr>
                <w:rFonts w:ascii="Times New Roman" w:hAnsi="Times New Roman" w:eastAsia="Times New Roman" w:cs="Times New Roman"/>
                <w:color w:val="000000" w:themeColor="text1"/>
                <w:sz w:val="20"/>
                <w:szCs w:val="20"/>
              </w:rPr>
              <w:t>Áreas de Importancia Estratégica para la Conservación de Recurso Hídrico con base en instrumentos de planificación ambiental relacionados con el recurso hídrico</w:t>
            </w:r>
            <w:r w:rsidRPr="00D11C96" w:rsidR="00750EC8">
              <w:rPr>
                <w:rFonts w:ascii="Times New Roman" w:hAnsi="Times New Roman" w:eastAsia="Times New Roman" w:cs="Times New Roman"/>
                <w:color w:val="000000" w:themeColor="text1"/>
                <w:sz w:val="20"/>
                <w:szCs w:val="20"/>
              </w:rPr>
              <w:t>; Planes de rehabilitación de redes</w:t>
            </w:r>
          </w:p>
        </w:tc>
        <w:tc>
          <w:tcPr>
            <w:tcW w:w="1121" w:type="dxa"/>
            <w:vAlign w:val="center"/>
          </w:tcPr>
          <w:p w:rsidRPr="00D11C96" w:rsidR="006F03AC" w:rsidP="00515ED2" w:rsidRDefault="006F03AC" w14:paraId="5BF7C733" w14:textId="61B60E1B">
            <w:pPr>
              <w:spacing w:after="0"/>
              <w:jc w:val="center"/>
              <w:rPr>
                <w:rFonts w:ascii="Times New Roman" w:hAnsi="Times New Roman" w:eastAsia="Times New Roman" w:cs="Times New Roman"/>
                <w:color w:val="000000" w:themeColor="text1"/>
                <w:sz w:val="20"/>
                <w:szCs w:val="20"/>
              </w:rPr>
            </w:pPr>
            <w:r w:rsidRPr="00D11C96">
              <w:rPr>
                <w:rFonts w:ascii="Times New Roman" w:hAnsi="Times New Roman" w:eastAsia="Times New Roman" w:cs="Times New Roman"/>
                <w:color w:val="000000" w:themeColor="text1"/>
                <w:sz w:val="20"/>
                <w:szCs w:val="20"/>
              </w:rPr>
              <w:t>Orden 4.25</w:t>
            </w:r>
            <w:r w:rsidRPr="00D11C96" w:rsidR="00750EC8">
              <w:rPr>
                <w:rFonts w:ascii="Times New Roman" w:hAnsi="Times New Roman" w:eastAsia="Times New Roman" w:cs="Times New Roman"/>
                <w:color w:val="000000" w:themeColor="text1"/>
                <w:sz w:val="20"/>
                <w:szCs w:val="20"/>
              </w:rPr>
              <w:t xml:space="preserve"> y 4.56</w:t>
            </w:r>
          </w:p>
        </w:tc>
        <w:tc>
          <w:tcPr>
            <w:tcW w:w="4855" w:type="dxa"/>
            <w:tcMar>
              <w:top w:w="15" w:type="dxa"/>
              <w:left w:w="15" w:type="dxa"/>
              <w:right w:w="15" w:type="dxa"/>
            </w:tcMar>
            <w:vAlign w:val="center"/>
          </w:tcPr>
          <w:p w:rsidRPr="00D11C96" w:rsidR="005C019E" w:rsidP="005C019E" w:rsidRDefault="005C019E" w14:paraId="20866AC2" w14:textId="2ED807E5">
            <w:pPr>
              <w:jc w:val="both"/>
              <w:rPr>
                <w:rFonts w:ascii="Garamond" w:hAnsi="Garamond"/>
                <w:sz w:val="22"/>
                <w:szCs w:val="22"/>
              </w:rPr>
            </w:pPr>
            <w:r w:rsidRPr="00D11C96">
              <w:rPr>
                <w:rFonts w:ascii="Garamond" w:hAnsi="Garamond"/>
                <w:sz w:val="22"/>
                <w:szCs w:val="22"/>
              </w:rPr>
              <w:t xml:space="preserve">La Resolución impacta la priorización de inversiones en los Planes de Desarrollo y Planes Maestros. Al proponer la recuperación de la calidad del agua en la cuenca alta y media (Artículo 25, numeral 6), se </w:t>
            </w:r>
            <w:r w:rsidRPr="00D11C96" w:rsidR="00D809F0">
              <w:rPr>
                <w:rFonts w:ascii="Garamond" w:hAnsi="Garamond"/>
                <w:sz w:val="22"/>
                <w:szCs w:val="22"/>
              </w:rPr>
              <w:t>propone</w:t>
            </w:r>
            <w:r w:rsidRPr="00D11C96">
              <w:rPr>
                <w:rFonts w:ascii="Garamond" w:hAnsi="Garamond"/>
                <w:sz w:val="22"/>
                <w:szCs w:val="22"/>
              </w:rPr>
              <w:t xml:space="preserve"> a los prestadores de servicios</w:t>
            </w:r>
            <w:r w:rsidRPr="00D11C96" w:rsidR="00D809F0">
              <w:rPr>
                <w:rFonts w:ascii="Garamond" w:hAnsi="Garamond"/>
                <w:sz w:val="22"/>
                <w:szCs w:val="22"/>
              </w:rPr>
              <w:t>,</w:t>
            </w:r>
            <w:r w:rsidRPr="00D11C96">
              <w:rPr>
                <w:rFonts w:ascii="Garamond" w:hAnsi="Garamond"/>
                <w:sz w:val="22"/>
                <w:szCs w:val="22"/>
              </w:rPr>
              <w:t xml:space="preserve"> focalizar sus acciones de saneamiento en tramos críticos y microcuencas abastecedoras. </w:t>
            </w:r>
          </w:p>
          <w:p w:rsidRPr="00D11C96" w:rsidR="005C019E" w:rsidP="005C019E" w:rsidRDefault="00CE2A1D" w14:paraId="5FBA646C" w14:textId="72A5C60E">
            <w:pPr>
              <w:jc w:val="both"/>
              <w:rPr>
                <w:rFonts w:ascii="Garamond" w:hAnsi="Garamond"/>
                <w:sz w:val="22"/>
                <w:szCs w:val="22"/>
              </w:rPr>
            </w:pPr>
            <w:r w:rsidRPr="00D11C96">
              <w:rPr>
                <w:rFonts w:ascii="Garamond" w:hAnsi="Garamond"/>
                <w:sz w:val="22"/>
                <w:szCs w:val="22"/>
              </w:rPr>
              <w:t xml:space="preserve">Los nuevos proyectos de infraestructura derivados de los actuales y futuros instrumentos de gestión de servicios públicos </w:t>
            </w:r>
            <w:r w:rsidRPr="00D11C96" w:rsidR="005C019E">
              <w:rPr>
                <w:rFonts w:ascii="Garamond" w:hAnsi="Garamond"/>
                <w:sz w:val="22"/>
                <w:szCs w:val="22"/>
              </w:rPr>
              <w:t>quedan condicionados a incorporar las directrices de ordenamiento ambiental. Esto incluye la obligación de "gestionar la demanda hídrica superficial, tanto actual como futura, orientada a su estabilización o reducción" (Artículo 25, numeral 5), integrando escenarios de circularidad y cambio climático. De esta forma, el instrumento de planificación sectorial (servicio público) deberá articularse al instrumento de planificación ambiental.</w:t>
            </w:r>
          </w:p>
          <w:p w:rsidRPr="00D11C96" w:rsidR="006F03AC" w:rsidP="00697168" w:rsidRDefault="00697168" w14:paraId="5244648E" w14:textId="340AFBC1">
            <w:pPr>
              <w:spacing w:after="0"/>
            </w:pPr>
            <w:r w:rsidRPr="00D11C96">
              <w:rPr>
                <w:rFonts w:ascii="Garamond" w:hAnsi="Garamond"/>
                <w:sz w:val="22"/>
                <w:szCs w:val="22"/>
              </w:rPr>
              <w:t>Se reitera también que la resolución no modifica situaciones jurídicas consolidadas.</w:t>
            </w:r>
          </w:p>
        </w:tc>
      </w:tr>
      <w:tr w:rsidRPr="00D11C96" w:rsidR="006F03AC" w:rsidTr="00515ED2" w14:paraId="12056079" w14:textId="77777777">
        <w:trPr>
          <w:trHeight w:val="270"/>
          <w:jc w:val="center"/>
        </w:trPr>
        <w:tc>
          <w:tcPr>
            <w:tcW w:w="3374" w:type="dxa"/>
            <w:tcMar>
              <w:top w:w="15" w:type="dxa"/>
              <w:left w:w="15" w:type="dxa"/>
              <w:right w:w="15" w:type="dxa"/>
            </w:tcMar>
            <w:vAlign w:val="center"/>
          </w:tcPr>
          <w:p w:rsidRPr="000B49EC" w:rsidR="006F03AC" w:rsidP="00515ED2" w:rsidRDefault="00AE5381" w14:paraId="3160C39F" w14:textId="38BC2DE3">
            <w:pPr>
              <w:spacing w:after="0"/>
              <w:jc w:val="center"/>
              <w:rPr>
                <w:rFonts w:ascii="Garamond" w:hAnsi="Garamond"/>
                <w:sz w:val="22"/>
                <w:szCs w:val="22"/>
              </w:rPr>
            </w:pPr>
            <w:r w:rsidRPr="000B49EC">
              <w:rPr>
                <w:rFonts w:ascii="Garamond" w:hAnsi="Garamond"/>
                <w:sz w:val="22"/>
                <w:szCs w:val="22"/>
              </w:rPr>
              <w:t>Convenio 171</w:t>
            </w:r>
            <w:r w:rsidRPr="000B49EC" w:rsidR="00697168">
              <w:rPr>
                <w:rFonts w:ascii="Garamond" w:hAnsi="Garamond"/>
                <w:sz w:val="22"/>
                <w:szCs w:val="22"/>
              </w:rPr>
              <w:t xml:space="preserve"> y Otros convenios</w:t>
            </w:r>
          </w:p>
        </w:tc>
        <w:tc>
          <w:tcPr>
            <w:tcW w:w="1121" w:type="dxa"/>
            <w:vAlign w:val="center"/>
          </w:tcPr>
          <w:p w:rsidRPr="000B49EC" w:rsidR="006F03AC" w:rsidP="00515ED2" w:rsidRDefault="00AE5381" w14:paraId="683D7BE8" w14:textId="226F9718">
            <w:pPr>
              <w:spacing w:after="0"/>
              <w:jc w:val="center"/>
              <w:rPr>
                <w:rFonts w:ascii="Garamond" w:hAnsi="Garamond"/>
                <w:sz w:val="22"/>
                <w:szCs w:val="22"/>
              </w:rPr>
            </w:pPr>
            <w:r w:rsidRPr="000B49EC">
              <w:rPr>
                <w:rFonts w:ascii="Garamond" w:hAnsi="Garamond"/>
                <w:sz w:val="22"/>
                <w:szCs w:val="22"/>
              </w:rPr>
              <w:t>Orden 4.42</w:t>
            </w:r>
            <w:r w:rsidRPr="000B49EC" w:rsidR="00697168">
              <w:rPr>
                <w:rFonts w:ascii="Garamond" w:hAnsi="Garamond"/>
                <w:sz w:val="22"/>
                <w:szCs w:val="22"/>
              </w:rPr>
              <w:t>, 4.46, 4.47 y 4.48</w:t>
            </w:r>
          </w:p>
        </w:tc>
        <w:tc>
          <w:tcPr>
            <w:tcW w:w="4855" w:type="dxa"/>
            <w:tcMar>
              <w:top w:w="15" w:type="dxa"/>
              <w:left w:w="15" w:type="dxa"/>
              <w:right w:w="15" w:type="dxa"/>
            </w:tcMar>
            <w:vAlign w:val="center"/>
          </w:tcPr>
          <w:p w:rsidRPr="000B49EC" w:rsidR="006F03AC" w:rsidP="00515ED2" w:rsidRDefault="00436EFD" w14:paraId="19C7689F" w14:textId="76A44C09">
            <w:pPr>
              <w:spacing w:after="0"/>
              <w:jc w:val="center"/>
              <w:rPr>
                <w:rFonts w:ascii="Garamond" w:hAnsi="Garamond"/>
                <w:sz w:val="22"/>
                <w:szCs w:val="22"/>
              </w:rPr>
            </w:pPr>
            <w:r w:rsidRPr="000B49EC">
              <w:rPr>
                <w:rFonts w:ascii="Garamond" w:hAnsi="Garamond"/>
                <w:sz w:val="22"/>
                <w:szCs w:val="22"/>
              </w:rPr>
              <w:t xml:space="preserve">La resolución respeta y no modifica ningún convenio de manera directa, ni ningún otro convenio en el </w:t>
            </w:r>
            <w:r w:rsidRPr="000B49EC" w:rsidR="000B49EC">
              <w:rPr>
                <w:rFonts w:ascii="Garamond" w:hAnsi="Garamond"/>
                <w:sz w:val="22"/>
                <w:szCs w:val="22"/>
              </w:rPr>
              <w:t>marco</w:t>
            </w:r>
            <w:r w:rsidRPr="000B49EC">
              <w:rPr>
                <w:rFonts w:ascii="Garamond" w:hAnsi="Garamond"/>
                <w:sz w:val="22"/>
                <w:szCs w:val="22"/>
              </w:rPr>
              <w:t xml:space="preserve"> de las ordenes de la sentencia del rio </w:t>
            </w:r>
            <w:r w:rsidRPr="000B49EC" w:rsidR="00425653">
              <w:rPr>
                <w:rFonts w:ascii="Garamond" w:hAnsi="Garamond"/>
                <w:sz w:val="22"/>
                <w:szCs w:val="22"/>
              </w:rPr>
              <w:t>B</w:t>
            </w:r>
            <w:r w:rsidRPr="000B49EC">
              <w:rPr>
                <w:rFonts w:ascii="Garamond" w:hAnsi="Garamond"/>
                <w:sz w:val="22"/>
                <w:szCs w:val="22"/>
              </w:rPr>
              <w:t>ogot</w:t>
            </w:r>
            <w:r w:rsidRPr="000B49EC" w:rsidR="00425653">
              <w:rPr>
                <w:rFonts w:ascii="Garamond" w:hAnsi="Garamond"/>
                <w:sz w:val="22"/>
                <w:szCs w:val="22"/>
              </w:rPr>
              <w:t>á.</w:t>
            </w:r>
          </w:p>
        </w:tc>
      </w:tr>
    </w:tbl>
    <w:p w:rsidRPr="00D11C96" w:rsidR="001E706D" w:rsidP="001E706D" w:rsidRDefault="001E706D" w14:paraId="36E3FB04" w14:textId="77777777">
      <w:pPr>
        <w:jc w:val="both"/>
        <w:rPr>
          <w:rFonts w:ascii="Garamond" w:hAnsi="Garamond"/>
          <w:sz w:val="22"/>
          <w:szCs w:val="22"/>
        </w:rPr>
      </w:pPr>
    </w:p>
    <w:p w:rsidRPr="00D11C96" w:rsidR="001E706D" w:rsidP="005C1E2E" w:rsidRDefault="001E706D" w14:paraId="6016D096" w14:textId="77777777">
      <w:pPr>
        <w:jc w:val="both"/>
        <w:rPr>
          <w:rFonts w:ascii="Garamond" w:hAnsi="Garamond"/>
          <w:sz w:val="22"/>
          <w:szCs w:val="22"/>
        </w:rPr>
      </w:pPr>
    </w:p>
    <w:p w:rsidRPr="00D11C96" w:rsidR="00861E7C" w:rsidP="005C1E2E" w:rsidRDefault="00861E7C" w14:paraId="37D2C62A" w14:textId="5C0C97BB">
      <w:pPr>
        <w:pStyle w:val="Heading2"/>
        <w:numPr>
          <w:ilvl w:val="1"/>
          <w:numId w:val="10"/>
        </w:numPr>
      </w:pPr>
      <w:bookmarkStart w:name="_Toc216938698" w:id="5"/>
      <w:r w:rsidRPr="00D11C96">
        <w:t>Efectos sobre los instrumentos de ordenamiento territorial (POT y POMCA)</w:t>
      </w:r>
      <w:bookmarkEnd w:id="5"/>
    </w:p>
    <w:p w:rsidRPr="00D11C96" w:rsidR="00861E7C" w:rsidP="005C1E2E" w:rsidRDefault="00861E7C" w14:paraId="70209AEE" w14:textId="5DE75BAC">
      <w:pPr>
        <w:jc w:val="both"/>
        <w:rPr>
          <w:rFonts w:ascii="Garamond" w:hAnsi="Garamond"/>
          <w:sz w:val="22"/>
          <w:szCs w:val="22"/>
        </w:rPr>
      </w:pPr>
      <w:r w:rsidRPr="00D11C96">
        <w:rPr>
          <w:rFonts w:ascii="Garamond" w:hAnsi="Garamond"/>
          <w:sz w:val="22"/>
          <w:szCs w:val="22"/>
        </w:rPr>
        <w:t>La interacción entre las nuevas directrices ambientales y los instrumentos de planificación territorial y de cuenca se fundamenta en el principio de jerarquía normativa y la coordinación interinstitucional. El principal efecto de la Resolución es la</w:t>
      </w:r>
      <w:r w:rsidRPr="00D11C96" w:rsidR="005C1E2E">
        <w:rPr>
          <w:rFonts w:ascii="Garamond" w:hAnsi="Garamond"/>
          <w:sz w:val="22"/>
          <w:szCs w:val="22"/>
        </w:rPr>
        <w:t xml:space="preserve"> aplicación de directrices de ordenamiento ambiental</w:t>
      </w:r>
      <w:r w:rsidRPr="00D11C96">
        <w:rPr>
          <w:rFonts w:ascii="Garamond" w:hAnsi="Garamond"/>
          <w:sz w:val="22"/>
          <w:szCs w:val="22"/>
        </w:rPr>
        <w:t>, asegurando que las determinantes ambientales se conviertan en normas de superior jerarquía dentro de los Planes de Ordenamiento Territorial (POT), PBOT y EOT de los municipios de la Sabana</w:t>
      </w:r>
      <w:r w:rsidRPr="00D11C96" w:rsidR="005C1E2E">
        <w:rPr>
          <w:rFonts w:ascii="Garamond" w:hAnsi="Garamond"/>
          <w:sz w:val="22"/>
          <w:szCs w:val="22"/>
        </w:rPr>
        <w:t xml:space="preserve"> que no se encuentren actualmente adoptados.</w:t>
      </w:r>
    </w:p>
    <w:p w:rsidRPr="00D11C96" w:rsidR="00861E7C" w:rsidP="005C1E2E" w:rsidRDefault="00861E7C" w14:paraId="772A009C" w14:textId="7981210A">
      <w:pPr>
        <w:jc w:val="both"/>
        <w:rPr>
          <w:rFonts w:ascii="Garamond" w:hAnsi="Garamond"/>
          <w:sz w:val="22"/>
          <w:szCs w:val="22"/>
        </w:rPr>
      </w:pPr>
      <w:r w:rsidRPr="00D11C96">
        <w:rPr>
          <w:rFonts w:ascii="Garamond" w:hAnsi="Garamond"/>
          <w:sz w:val="22"/>
          <w:szCs w:val="22"/>
        </w:rPr>
        <w:t>En relación con el Plan de Ordenación y Manejo de la Cuenca Hidrográfica (POMCA) del Río Bogotá, la Resolución respeta la vigencia y la obligatoriedad de este instrumento, reconociéndolo como una situación jurídica consolidada conforme al Artículo 30. No obstante, se genera una sinergia operativa: mientras el POMCA establece la zonificación ambiental a una escala regional, la Resolución profundiza en la precisión de dichas áreas para su incorporación en el ordenamiento municipal</w:t>
      </w:r>
      <w:r w:rsidRPr="00D11C96" w:rsidR="005C1E2E">
        <w:rPr>
          <w:rFonts w:ascii="Garamond" w:hAnsi="Garamond"/>
          <w:sz w:val="22"/>
          <w:szCs w:val="22"/>
        </w:rPr>
        <w:t xml:space="preserve"> desde su enfoque cartográfico</w:t>
      </w:r>
      <w:r w:rsidRPr="00D11C96">
        <w:rPr>
          <w:rFonts w:ascii="Garamond" w:hAnsi="Garamond"/>
          <w:sz w:val="22"/>
          <w:szCs w:val="22"/>
        </w:rPr>
        <w:t xml:space="preserve">. </w:t>
      </w:r>
      <w:r w:rsidRPr="00D11C96" w:rsidR="005C1E2E">
        <w:rPr>
          <w:rFonts w:ascii="Garamond" w:hAnsi="Garamond"/>
          <w:sz w:val="22"/>
          <w:szCs w:val="22"/>
        </w:rPr>
        <w:t xml:space="preserve">Lo anterior en armonía con </w:t>
      </w:r>
      <w:r w:rsidRPr="00D11C96">
        <w:rPr>
          <w:rFonts w:ascii="Garamond" w:hAnsi="Garamond"/>
          <w:sz w:val="22"/>
          <w:szCs w:val="22"/>
        </w:rPr>
        <w:t>la Orden 4.7 y 4.8 de la Sentencia, existe un mandato perentorio para que los entes territoriales "modifiquen y actualicen los Planes de Ordenamiento Territorial ajustándolos con los contenidos del POMCA". La Resolución facilita este cumplimiento al proveer directrices claras que disipan la ambigüedad en la interpretación de las normas de la cuenca</w:t>
      </w:r>
      <w:r w:rsidRPr="00D11C96" w:rsidR="005C1E2E">
        <w:rPr>
          <w:rFonts w:ascii="Garamond" w:hAnsi="Garamond"/>
          <w:sz w:val="22"/>
          <w:szCs w:val="22"/>
        </w:rPr>
        <w:t xml:space="preserve"> y su aplicación en instrumentos ya adoptados y demás situaciones jurídicas consolidadas. Sin embargo no se desconoce su incorporación para aquellos que no se encuentran con la respectiva concertación ambiental, dado que</w:t>
      </w:r>
      <w:r w:rsidRPr="00D11C96">
        <w:rPr>
          <w:rFonts w:ascii="Garamond" w:hAnsi="Garamond"/>
          <w:sz w:val="22"/>
          <w:szCs w:val="22"/>
        </w:rPr>
        <w:t xml:space="preserve"> el Artículo 3 de la propuesta define que "las directrices establecidas en la presente resolución consisten en criterios y reglas vinculantes para el ejercicio de las competencias de ordenamiento territorial"</w:t>
      </w:r>
      <w:r w:rsidRPr="00D11C96" w:rsidR="005C1E2E">
        <w:rPr>
          <w:rFonts w:ascii="Garamond" w:hAnsi="Garamond"/>
          <w:sz w:val="22"/>
          <w:szCs w:val="22"/>
        </w:rPr>
        <w:t>,</w:t>
      </w:r>
      <w:r w:rsidRPr="00D11C96">
        <w:rPr>
          <w:rFonts w:ascii="Garamond" w:hAnsi="Garamond"/>
          <w:sz w:val="22"/>
          <w:szCs w:val="22"/>
        </w:rPr>
        <w:t xml:space="preserve"> </w:t>
      </w:r>
      <w:r w:rsidRPr="00D11C96" w:rsidR="005C1E2E">
        <w:rPr>
          <w:rFonts w:ascii="Garamond" w:hAnsi="Garamond"/>
          <w:sz w:val="22"/>
          <w:szCs w:val="22"/>
        </w:rPr>
        <w:t xml:space="preserve">lo que </w:t>
      </w:r>
      <w:r w:rsidRPr="00D11C96">
        <w:rPr>
          <w:rFonts w:ascii="Garamond" w:hAnsi="Garamond"/>
          <w:sz w:val="22"/>
          <w:szCs w:val="22"/>
        </w:rPr>
        <w:t>implica que, al momento de la revisión y ajuste de los POT, los municipios deberán aplicar las directrices de la Resolución como determinantes de nivel 1 (según el artículo 10 de la Ley 388 de 1997).</w:t>
      </w:r>
    </w:p>
    <w:p w:rsidRPr="00D11C96" w:rsidR="00861E7C" w:rsidP="000C25ED" w:rsidRDefault="00861E7C" w14:paraId="170F719D" w14:textId="38B1947D">
      <w:pPr>
        <w:jc w:val="both"/>
        <w:rPr>
          <w:rFonts w:ascii="Garamond" w:hAnsi="Garamond"/>
          <w:sz w:val="22"/>
          <w:szCs w:val="22"/>
        </w:rPr>
      </w:pPr>
      <w:r w:rsidRPr="00D11C96">
        <w:rPr>
          <w:rFonts w:ascii="Garamond" w:hAnsi="Garamond"/>
          <w:sz w:val="22"/>
          <w:szCs w:val="22"/>
        </w:rPr>
        <w:t>Un impacto técnico significativo se observa en la gestión de áreas de amenaza y riesgo. En concordancia con las Órdenes 4.18 y 4.20, que exigen la inclusión de variables de cambio climático y gestión de riesgos, el Artículo 10 de la Resolución instrumenta la información de amenazas del POMCA. Se establece que las áreas zonificadas como amenaza alta o riesgo no mitigable "deberán incorporarse como parte de la estructura ecológica en los planes de ordenamiento territorial" y orientarse exclusivamente a la adaptación basada en ecosistemas y soluciones basadas en la naturaleza. Esta disposición restringe efectivamente la expansión urbana sobre suelos de riesgo, alineando el uso del suelo con la capacidad de soporte del territorio y garantizando la seguridad de los asentamientos humanos.</w:t>
      </w:r>
    </w:p>
    <w:p w:rsidRPr="00D11C96" w:rsidR="00861E7C" w:rsidP="000C25ED" w:rsidRDefault="00861E7C" w14:paraId="46866316" w14:textId="77777777">
      <w:pPr>
        <w:jc w:val="both"/>
        <w:rPr>
          <w:rFonts w:ascii="Garamond" w:hAnsi="Garamond"/>
          <w:sz w:val="22"/>
          <w:szCs w:val="22"/>
        </w:rPr>
      </w:pPr>
      <w:r w:rsidRPr="00D11C96">
        <w:rPr>
          <w:rFonts w:ascii="Garamond" w:hAnsi="Garamond"/>
          <w:sz w:val="22"/>
          <w:szCs w:val="22"/>
        </w:rPr>
        <w:t>Adicionalmente, en materia de estructura ecológica, el Artículo 7 impone una obligación técnica de mayor detalle: la identificación y adopción del mapa de ecosistemas de humedal a escala 1:10.000 o mayor. Esto supera las escalas generales de planificación regional, obligando a los municipios a proteger no solo los cuerpos de agua principales, sino también los humedales temporales y aquellos transformados en suelo rural, garantizando su "integridad ecológica, conectividad hídrica y función amortiguadora".</w:t>
      </w:r>
    </w:p>
    <w:p w:rsidRPr="00D11C96" w:rsidR="00861E7C" w:rsidP="00861E7C" w:rsidRDefault="00861E7C" w14:paraId="2C940EAC" w14:textId="77777777">
      <w:pPr>
        <w:rPr>
          <w:rFonts w:ascii="Garamond" w:hAnsi="Garamond"/>
          <w:sz w:val="22"/>
          <w:szCs w:val="22"/>
        </w:rPr>
      </w:pPr>
    </w:p>
    <w:p w:rsidRPr="00D11C96" w:rsidR="00861E7C" w:rsidP="000C25ED" w:rsidRDefault="00861E7C" w14:paraId="4703A17E" w14:textId="536656C7">
      <w:pPr>
        <w:pStyle w:val="Heading2"/>
        <w:numPr>
          <w:ilvl w:val="1"/>
          <w:numId w:val="10"/>
        </w:numPr>
      </w:pPr>
      <w:bookmarkStart w:name="_Toc216938699" w:id="6"/>
      <w:r w:rsidRPr="00D11C96">
        <w:t>Efectos sobre los instrumentos para la gestión de servicios públicos</w:t>
      </w:r>
      <w:bookmarkEnd w:id="6"/>
    </w:p>
    <w:p w:rsidRPr="00D11C96" w:rsidR="000C25ED" w:rsidP="00352E76" w:rsidRDefault="00861E7C" w14:paraId="7F68E0A8" w14:textId="77777777">
      <w:pPr>
        <w:jc w:val="both"/>
        <w:rPr>
          <w:rFonts w:ascii="Garamond" w:hAnsi="Garamond"/>
          <w:sz w:val="22"/>
          <w:szCs w:val="22"/>
        </w:rPr>
      </w:pPr>
      <w:r w:rsidRPr="00D11C96">
        <w:rPr>
          <w:rFonts w:ascii="Garamond" w:hAnsi="Garamond"/>
          <w:sz w:val="22"/>
          <w:szCs w:val="22"/>
        </w:rPr>
        <w:t xml:space="preserve">La aplicación de la Resolución introduce </w:t>
      </w:r>
      <w:r w:rsidRPr="00D11C96" w:rsidR="000C25ED">
        <w:rPr>
          <w:rFonts w:ascii="Garamond" w:hAnsi="Garamond"/>
          <w:sz w:val="22"/>
          <w:szCs w:val="22"/>
        </w:rPr>
        <w:t>algunos efectos</w:t>
      </w:r>
      <w:r w:rsidRPr="00D11C96">
        <w:rPr>
          <w:rFonts w:ascii="Garamond" w:hAnsi="Garamond"/>
          <w:sz w:val="22"/>
          <w:szCs w:val="22"/>
        </w:rPr>
        <w:t xml:space="preserve"> en la planificación de la infraestructura de servicios públicos, subordinando la </w:t>
      </w:r>
      <w:r w:rsidRPr="00D11C96" w:rsidR="000C25ED">
        <w:rPr>
          <w:rFonts w:ascii="Garamond" w:hAnsi="Garamond"/>
          <w:sz w:val="22"/>
          <w:szCs w:val="22"/>
        </w:rPr>
        <w:t>gestión de los servicios públicos</w:t>
      </w:r>
      <w:r w:rsidRPr="00D11C96">
        <w:rPr>
          <w:rFonts w:ascii="Garamond" w:hAnsi="Garamond"/>
          <w:sz w:val="22"/>
          <w:szCs w:val="22"/>
        </w:rPr>
        <w:t xml:space="preserve"> a la disponibilidad efectiva del recurso hídrico y a la capacidad de carga de los cuerpos receptores</w:t>
      </w:r>
      <w:r w:rsidRPr="00D11C96" w:rsidR="000C25ED">
        <w:rPr>
          <w:rFonts w:ascii="Garamond" w:hAnsi="Garamond"/>
          <w:sz w:val="22"/>
          <w:szCs w:val="22"/>
        </w:rPr>
        <w:t xml:space="preserve"> en dos escenarios: (i) Cuando los instrumentos para la gestión de servicios públicos se formulen o actualicen deberán incorporar las directrices de ordenamiento ambiental asociadas. (</w:t>
      </w:r>
      <w:proofErr w:type="spellStart"/>
      <w:r w:rsidRPr="00D11C96" w:rsidR="000C25ED">
        <w:rPr>
          <w:rFonts w:ascii="Garamond" w:hAnsi="Garamond"/>
          <w:sz w:val="22"/>
          <w:szCs w:val="22"/>
        </w:rPr>
        <w:t>ii</w:t>
      </w:r>
      <w:proofErr w:type="spellEnd"/>
      <w:r w:rsidRPr="00D11C96" w:rsidR="000C25ED">
        <w:rPr>
          <w:rFonts w:ascii="Garamond" w:hAnsi="Garamond"/>
          <w:sz w:val="22"/>
          <w:szCs w:val="22"/>
        </w:rPr>
        <w:t>) Los nuevos proyectos de infraestructura derivados de los actuales y futuros instrumentos de gestión de servicios públicos deberán incorporar las directrices de ordenamiento ambiental que le apliquen</w:t>
      </w:r>
      <w:r w:rsidRPr="00D11C96">
        <w:rPr>
          <w:rFonts w:ascii="Garamond" w:hAnsi="Garamond"/>
          <w:sz w:val="22"/>
          <w:szCs w:val="22"/>
        </w:rPr>
        <w:t>.</w:t>
      </w:r>
    </w:p>
    <w:p w:rsidRPr="00D11C96" w:rsidR="00861E7C" w:rsidP="00352E76" w:rsidRDefault="00861E7C" w14:paraId="715743C6" w14:textId="08DBB149">
      <w:pPr>
        <w:jc w:val="both"/>
        <w:rPr>
          <w:rFonts w:ascii="Garamond" w:hAnsi="Garamond"/>
          <w:sz w:val="22"/>
          <w:szCs w:val="22"/>
        </w:rPr>
      </w:pPr>
      <w:r w:rsidRPr="00D11C96">
        <w:rPr>
          <w:rFonts w:ascii="Garamond" w:hAnsi="Garamond"/>
          <w:sz w:val="22"/>
          <w:szCs w:val="22"/>
        </w:rPr>
        <w:t>Este enfoque responde directamente a la Orden 4.20, que ordena revisar y ajustar los Planes Maestros de Acueducto y Alcantarillado (PMAA) para interceptar vertimientos, y a la Orden 4.21, referente a los Planes de Saneamiento y Manejo de Vertimientos (PSMV).</w:t>
      </w:r>
    </w:p>
    <w:p w:rsidRPr="00D11C96" w:rsidR="00861E7C" w:rsidP="000C25ED" w:rsidRDefault="00861E7C" w14:paraId="21F08CC0" w14:textId="76D86139">
      <w:pPr>
        <w:jc w:val="both"/>
        <w:rPr>
          <w:rFonts w:ascii="Garamond" w:hAnsi="Garamond"/>
          <w:sz w:val="22"/>
          <w:szCs w:val="22"/>
        </w:rPr>
      </w:pPr>
      <w:r w:rsidRPr="00D11C96">
        <w:rPr>
          <w:rFonts w:ascii="Garamond" w:hAnsi="Garamond"/>
          <w:sz w:val="22"/>
          <w:szCs w:val="22"/>
        </w:rPr>
        <w:t>El efecto central recae sobre el concepto de Seguridad Hídrica desarrollado en el Artículo 25 de la propuesta</w:t>
      </w:r>
      <w:r w:rsidRPr="00D11C96" w:rsidR="000C25ED">
        <w:rPr>
          <w:rFonts w:ascii="Garamond" w:hAnsi="Garamond"/>
          <w:sz w:val="22"/>
          <w:szCs w:val="22"/>
        </w:rPr>
        <w:t xml:space="preserve"> de resolución, que d</w:t>
      </w:r>
      <w:r w:rsidRPr="00D11C96">
        <w:rPr>
          <w:rFonts w:ascii="Garamond" w:hAnsi="Garamond"/>
          <w:sz w:val="22"/>
          <w:szCs w:val="22"/>
        </w:rPr>
        <w:t xml:space="preserve">e manera explícita, establece que "para los proyectos de ampliación o de nuevos sistemas de abastecimiento cuya fuente provenga de cuencas diferentes al río Bogotá, las autoridades ambientales deberán generar conceptos" previos que certifiquen el agotamiento de la oferta local y la implementación exhaustiva de medidas de gestión de la demanda. Esto implica que los instrumentos de gestión de servicios (PMAA, PSMV) deberán </w:t>
      </w:r>
      <w:r w:rsidRPr="00D11C96" w:rsidR="000C25ED">
        <w:rPr>
          <w:rFonts w:ascii="Garamond" w:hAnsi="Garamond"/>
          <w:sz w:val="22"/>
          <w:szCs w:val="22"/>
        </w:rPr>
        <w:t>contar de un mayor sustento</w:t>
      </w:r>
      <w:r w:rsidRPr="00D11C96">
        <w:rPr>
          <w:rFonts w:ascii="Garamond" w:hAnsi="Garamond"/>
          <w:sz w:val="22"/>
          <w:szCs w:val="22"/>
        </w:rPr>
        <w:t xml:space="preserve"> técnic</w:t>
      </w:r>
      <w:r w:rsidRPr="00D11C96" w:rsidR="000C25ED">
        <w:rPr>
          <w:rFonts w:ascii="Garamond" w:hAnsi="Garamond"/>
          <w:sz w:val="22"/>
          <w:szCs w:val="22"/>
        </w:rPr>
        <w:t>o</w:t>
      </w:r>
      <w:r w:rsidRPr="00D11C96">
        <w:rPr>
          <w:rFonts w:ascii="Garamond" w:hAnsi="Garamond"/>
          <w:sz w:val="22"/>
          <w:szCs w:val="22"/>
        </w:rPr>
        <w:t xml:space="preserve"> </w:t>
      </w:r>
      <w:r w:rsidRPr="00D11C96" w:rsidR="000C25ED">
        <w:rPr>
          <w:rFonts w:ascii="Garamond" w:hAnsi="Garamond"/>
          <w:sz w:val="22"/>
          <w:szCs w:val="22"/>
        </w:rPr>
        <w:t>para su gestión.</w:t>
      </w:r>
    </w:p>
    <w:p w:rsidRPr="00D11C96" w:rsidR="00861E7C" w:rsidP="00352E76" w:rsidRDefault="00861E7C" w14:paraId="245475BF" w14:textId="579B500F">
      <w:pPr>
        <w:jc w:val="both"/>
        <w:rPr>
          <w:rFonts w:ascii="Garamond" w:hAnsi="Garamond"/>
          <w:sz w:val="22"/>
          <w:szCs w:val="22"/>
        </w:rPr>
      </w:pPr>
      <w:r w:rsidRPr="00D11C96">
        <w:rPr>
          <w:rFonts w:ascii="Garamond" w:hAnsi="Garamond"/>
          <w:sz w:val="22"/>
          <w:szCs w:val="22"/>
        </w:rPr>
        <w:t xml:space="preserve">Asimismo, la Resolución impacta la priorización de inversiones en los Planes de Desarrollo y Planes Maestros. Al </w:t>
      </w:r>
      <w:r w:rsidRPr="00D11C96" w:rsidR="000C25ED">
        <w:rPr>
          <w:rFonts w:ascii="Garamond" w:hAnsi="Garamond"/>
          <w:sz w:val="22"/>
          <w:szCs w:val="22"/>
        </w:rPr>
        <w:t>proponer</w:t>
      </w:r>
      <w:r w:rsidRPr="00D11C96">
        <w:rPr>
          <w:rFonts w:ascii="Garamond" w:hAnsi="Garamond"/>
          <w:sz w:val="22"/>
          <w:szCs w:val="22"/>
        </w:rPr>
        <w:t xml:space="preserve"> la recuperación de la calidad del agua en la cuenca alta y media (Artículo 25, numeral 6), se obliga a los prestadores de servicios a focalizar sus acciones de saneamiento en tramos críticos y microcuencas abastecedoras. Esto se alinea con la Orden 4.56 de la Sentencia, que exige la priorización de "zonas más críticas desde el punto de vista operacional y ambiental" en los planes de rehabilitación de redes.</w:t>
      </w:r>
    </w:p>
    <w:p w:rsidRPr="00D11C96" w:rsidR="00861E7C" w:rsidP="00352E76" w:rsidRDefault="00861E7C" w14:paraId="7C962DBB" w14:textId="36663A1E">
      <w:pPr>
        <w:jc w:val="both"/>
        <w:rPr>
          <w:rFonts w:ascii="Garamond" w:hAnsi="Garamond"/>
          <w:sz w:val="22"/>
          <w:szCs w:val="22"/>
        </w:rPr>
      </w:pPr>
      <w:r w:rsidRPr="00D11C96">
        <w:rPr>
          <w:rFonts w:ascii="Garamond" w:hAnsi="Garamond"/>
          <w:sz w:val="22"/>
          <w:szCs w:val="22"/>
        </w:rPr>
        <w:t xml:space="preserve">Por consiguiente, los nuevos proyectos de infraestructura derivados de los actuales y futuros instrumentos de gestión de servicios públicos quedan condicionados a incorporar las directrices de ordenamiento ambiental. Esto incluye la obligación de "gestionar la demanda hídrica superficial, tanto actual como futura, orientada a su estabilización o reducción" (Artículo 25, numeral 5), integrando escenarios de circularidad y cambio climático. </w:t>
      </w:r>
      <w:r w:rsidRPr="00D11C96">
        <w:rPr>
          <w:rFonts w:ascii="Garamond" w:hAnsi="Garamond"/>
          <w:sz w:val="22"/>
          <w:szCs w:val="22"/>
        </w:rPr>
        <w:t xml:space="preserve">De esta forma, el instrumento de planificación sectorial (servicio público) </w:t>
      </w:r>
      <w:r w:rsidRPr="00D11C96" w:rsidR="00352E76">
        <w:rPr>
          <w:rFonts w:ascii="Garamond" w:hAnsi="Garamond"/>
          <w:sz w:val="22"/>
          <w:szCs w:val="22"/>
        </w:rPr>
        <w:t>deberá articularse</w:t>
      </w:r>
      <w:r w:rsidRPr="00D11C96">
        <w:rPr>
          <w:rFonts w:ascii="Garamond" w:hAnsi="Garamond"/>
          <w:sz w:val="22"/>
          <w:szCs w:val="22"/>
        </w:rPr>
        <w:t xml:space="preserve"> al instrumento de planificación ambiental.</w:t>
      </w:r>
    </w:p>
    <w:p w:rsidRPr="00D11C96" w:rsidR="00861E7C" w:rsidP="00352E76" w:rsidRDefault="00861E7C" w14:paraId="28655732" w14:textId="659C4093">
      <w:pPr>
        <w:pStyle w:val="Heading2"/>
        <w:numPr>
          <w:ilvl w:val="1"/>
          <w:numId w:val="10"/>
        </w:numPr>
      </w:pPr>
      <w:bookmarkStart w:name="_Toc216938700" w:id="7"/>
      <w:r w:rsidRPr="00D11C96">
        <w:t>Efectos sobre los instrumentos de manejo ambiental</w:t>
      </w:r>
      <w:bookmarkEnd w:id="7"/>
    </w:p>
    <w:p w:rsidRPr="00D11C96" w:rsidR="00861E7C" w:rsidP="00352E76" w:rsidRDefault="00861E7C" w14:paraId="52CEE12B" w14:textId="77777777">
      <w:pPr>
        <w:jc w:val="both"/>
        <w:rPr>
          <w:rFonts w:ascii="Garamond" w:hAnsi="Garamond"/>
          <w:sz w:val="22"/>
          <w:szCs w:val="22"/>
        </w:rPr>
      </w:pPr>
      <w:r w:rsidRPr="00D11C96">
        <w:rPr>
          <w:rFonts w:ascii="Garamond" w:hAnsi="Garamond"/>
          <w:sz w:val="22"/>
          <w:szCs w:val="22"/>
        </w:rPr>
        <w:t>La Resolución dinamiza y otorga operatividad a los instrumentos de manejo ambiental existentes, especialmente aquellos relacionados con la protección del recurso hídrico subterráneo y los ecosistemas estratégicos, superando la etapa diagnóstica para entrar en fases de ejecución y restauración.</w:t>
      </w:r>
    </w:p>
    <w:p w:rsidRPr="00D11C96" w:rsidR="00861E7C" w:rsidP="00352E76" w:rsidRDefault="00861E7C" w14:paraId="7101A3AE" w14:textId="77777777">
      <w:pPr>
        <w:jc w:val="both"/>
        <w:rPr>
          <w:rFonts w:ascii="Garamond" w:hAnsi="Garamond"/>
          <w:sz w:val="22"/>
          <w:szCs w:val="22"/>
        </w:rPr>
      </w:pPr>
      <w:r w:rsidRPr="00D11C96">
        <w:rPr>
          <w:rFonts w:ascii="Garamond" w:hAnsi="Garamond"/>
          <w:sz w:val="22"/>
          <w:szCs w:val="22"/>
        </w:rPr>
        <w:t>En lo referente a las aguas subterráneas, la Resolución atiende la Orden 4.23, la cual instruye la identificación e inventario de zonas de recarga de acuíferos para su protección inmediata. El Artículo 24 de la propuesta operacionaliza este mandato al ordenar la elaboración coordinada del Plan de Manejo Ambiental de los Sistemas Acuíferos (PMAA) en un plazo no superior a 18 meses. El impacto técnico es directo: se exige consolidar el conocimiento sobre la oferta y demanda bajo escenarios de cambio climático y, crucialmente, "establecer o actualizar las determinantes ambientales para el ordenamiento territorial" orientadas a proteger las zonas de recarga. Esto transforma las áreas de recarga, a menudo ignoradas en la planificación urbana, en determinantes de nivel 1 que restringen usos incompatibles.</w:t>
      </w:r>
    </w:p>
    <w:p w:rsidRPr="00D11C96" w:rsidR="00861E7C" w:rsidP="00352E76" w:rsidRDefault="00861E7C" w14:paraId="1E0934F1" w14:textId="2B50E9AC">
      <w:pPr>
        <w:jc w:val="both"/>
        <w:rPr>
          <w:rFonts w:ascii="Garamond" w:hAnsi="Garamond"/>
          <w:sz w:val="22"/>
          <w:szCs w:val="22"/>
        </w:rPr>
      </w:pPr>
      <w:r w:rsidRPr="00D11C96">
        <w:rPr>
          <w:rFonts w:ascii="Garamond" w:hAnsi="Garamond"/>
          <w:sz w:val="22"/>
          <w:szCs w:val="22"/>
        </w:rPr>
        <w:t xml:space="preserve">Respecto a los humedales, el efecto sobre los instrumentos de manejo es la ampliación del alcance de protección. El Artículo 7 no solo reitera la protección de los humedales reconocidos, sino que </w:t>
      </w:r>
      <w:r w:rsidRPr="00D11C96" w:rsidR="00352E76">
        <w:rPr>
          <w:rFonts w:ascii="Garamond" w:hAnsi="Garamond"/>
          <w:sz w:val="22"/>
          <w:szCs w:val="22"/>
        </w:rPr>
        <w:t>busca</w:t>
      </w:r>
      <w:r w:rsidRPr="00D11C96">
        <w:rPr>
          <w:rFonts w:ascii="Garamond" w:hAnsi="Garamond"/>
          <w:sz w:val="22"/>
          <w:szCs w:val="22"/>
        </w:rPr>
        <w:t xml:space="preserve"> la formulación de planes de manejo para humedales de cada jurisdicción bajo los términos de la Ley 2478 de 2025 (referenciada en la propuesta</w:t>
      </w:r>
      <w:r w:rsidRPr="00D11C96" w:rsidR="00352E76">
        <w:rPr>
          <w:rFonts w:ascii="Garamond" w:hAnsi="Garamond"/>
          <w:sz w:val="22"/>
          <w:szCs w:val="22"/>
        </w:rPr>
        <w:t xml:space="preserve"> de resolución</w:t>
      </w:r>
      <w:r w:rsidRPr="00D11C96">
        <w:rPr>
          <w:rFonts w:ascii="Garamond" w:hAnsi="Garamond"/>
          <w:sz w:val="22"/>
          <w:szCs w:val="22"/>
        </w:rPr>
        <w:t xml:space="preserve">). </w:t>
      </w:r>
      <w:r w:rsidRPr="00D11C96" w:rsidR="00352E76">
        <w:rPr>
          <w:rFonts w:ascii="Garamond" w:hAnsi="Garamond"/>
          <w:sz w:val="22"/>
          <w:szCs w:val="22"/>
        </w:rPr>
        <w:t>En ese sentido se le apunta a</w:t>
      </w:r>
      <w:r w:rsidRPr="00D11C96">
        <w:rPr>
          <w:rFonts w:ascii="Garamond" w:hAnsi="Garamond"/>
          <w:sz w:val="22"/>
          <w:szCs w:val="22"/>
        </w:rPr>
        <w:t xml:space="preserve"> "conservar, recuperar, reconformar, rehabilitar y/o restaurar los humedales permanentes y temporales naturales con su ronda hídrica". Esto </w:t>
      </w:r>
      <w:r w:rsidRPr="00D11C96" w:rsidR="00352E76">
        <w:rPr>
          <w:rFonts w:ascii="Garamond" w:hAnsi="Garamond"/>
          <w:sz w:val="22"/>
          <w:szCs w:val="22"/>
        </w:rPr>
        <w:t>implica</w:t>
      </w:r>
      <w:r w:rsidRPr="00D11C96">
        <w:rPr>
          <w:rFonts w:ascii="Garamond" w:hAnsi="Garamond"/>
          <w:sz w:val="22"/>
          <w:szCs w:val="22"/>
        </w:rPr>
        <w:t xml:space="preserve"> a las autoridades ambientales y entes territoriales </w:t>
      </w:r>
      <w:r w:rsidRPr="00D11C96" w:rsidR="00ED2F0C">
        <w:rPr>
          <w:rFonts w:ascii="Garamond" w:hAnsi="Garamond"/>
          <w:sz w:val="22"/>
          <w:szCs w:val="22"/>
        </w:rPr>
        <w:t>que,</w:t>
      </w:r>
      <w:r w:rsidRPr="00D11C96" w:rsidR="00352E76">
        <w:rPr>
          <w:rFonts w:ascii="Garamond" w:hAnsi="Garamond"/>
          <w:sz w:val="22"/>
          <w:szCs w:val="22"/>
        </w:rPr>
        <w:t xml:space="preserve"> al momento de</w:t>
      </w:r>
      <w:r w:rsidRPr="00D11C96">
        <w:rPr>
          <w:rFonts w:ascii="Garamond" w:hAnsi="Garamond"/>
          <w:sz w:val="22"/>
          <w:szCs w:val="22"/>
        </w:rPr>
        <w:t xml:space="preserve"> actualizar sus inventarios y planes de manejo, </w:t>
      </w:r>
      <w:r w:rsidRPr="00D11C96" w:rsidR="00352E76">
        <w:rPr>
          <w:rFonts w:ascii="Garamond" w:hAnsi="Garamond"/>
          <w:sz w:val="22"/>
          <w:szCs w:val="22"/>
        </w:rPr>
        <w:t>tengan en cuenta</w:t>
      </w:r>
      <w:r w:rsidRPr="00D11C96">
        <w:rPr>
          <w:rFonts w:ascii="Garamond" w:hAnsi="Garamond"/>
          <w:sz w:val="22"/>
          <w:szCs w:val="22"/>
        </w:rPr>
        <w:t xml:space="preserve"> aquellos humedales transformados en suelo rural que no pertenezcan a categorías de desarrollo restringido, promoviendo en ellos actividades sostenibles que no alteren su dinámica natural.</w:t>
      </w:r>
    </w:p>
    <w:p w:rsidRPr="00D11C96" w:rsidR="00861E7C" w:rsidP="00352E76" w:rsidRDefault="00861E7C" w14:paraId="6240C25D" w14:textId="04249643">
      <w:pPr>
        <w:pStyle w:val="Heading2"/>
        <w:numPr>
          <w:ilvl w:val="1"/>
          <w:numId w:val="10"/>
        </w:numPr>
      </w:pPr>
      <w:bookmarkStart w:name="_Toc216938701" w:id="8"/>
      <w:r w:rsidRPr="00D11C96">
        <w:t>Efectos sobre los instrumentos minero-ambientales</w:t>
      </w:r>
      <w:bookmarkEnd w:id="8"/>
    </w:p>
    <w:p w:rsidRPr="00D11C96" w:rsidR="00861E7C" w:rsidP="00352E76" w:rsidRDefault="00861E7C" w14:paraId="696D4831" w14:textId="58E47324">
      <w:pPr>
        <w:jc w:val="both"/>
        <w:rPr>
          <w:rFonts w:ascii="Garamond" w:hAnsi="Garamond"/>
          <w:sz w:val="22"/>
          <w:szCs w:val="22"/>
        </w:rPr>
      </w:pPr>
      <w:r w:rsidRPr="00D11C96">
        <w:rPr>
          <w:rFonts w:ascii="Garamond" w:hAnsi="Garamond"/>
          <w:sz w:val="22"/>
          <w:szCs w:val="22"/>
        </w:rPr>
        <w:t>La propuesta normativa aborda la actividad minera desde la perspectiva de la integridad ecológica, impactando la forma en que se implementan los Planes de Manejo, Recuperación y Restauración Ambiental (PMRRA) y las licencias ambientales vigentes</w:t>
      </w:r>
      <w:r w:rsidRPr="00D11C96" w:rsidR="00352E76">
        <w:rPr>
          <w:rFonts w:ascii="Garamond" w:hAnsi="Garamond"/>
          <w:sz w:val="22"/>
          <w:szCs w:val="22"/>
        </w:rPr>
        <w:t xml:space="preserve"> en escenarios </w:t>
      </w:r>
      <w:proofErr w:type="spellStart"/>
      <w:r w:rsidRPr="00D11C96" w:rsidR="00352E76">
        <w:rPr>
          <w:rFonts w:ascii="Garamond" w:hAnsi="Garamond"/>
          <w:sz w:val="22"/>
          <w:szCs w:val="22"/>
        </w:rPr>
        <w:t>post-mineros</w:t>
      </w:r>
      <w:proofErr w:type="spellEnd"/>
      <w:r w:rsidRPr="00D11C96">
        <w:rPr>
          <w:rFonts w:ascii="Garamond" w:hAnsi="Garamond"/>
          <w:sz w:val="22"/>
          <w:szCs w:val="22"/>
        </w:rPr>
        <w:t xml:space="preserve">. El objetivo no es la prohibición per se, sino </w:t>
      </w:r>
      <w:r w:rsidRPr="00D11C96" w:rsidR="00352E76">
        <w:rPr>
          <w:rFonts w:ascii="Garamond" w:hAnsi="Garamond"/>
          <w:sz w:val="22"/>
          <w:szCs w:val="22"/>
        </w:rPr>
        <w:t xml:space="preserve">abordar </w:t>
      </w:r>
      <w:r w:rsidRPr="00D11C96">
        <w:rPr>
          <w:rFonts w:ascii="Garamond" w:hAnsi="Garamond"/>
          <w:sz w:val="22"/>
          <w:szCs w:val="22"/>
        </w:rPr>
        <w:t>la reducción de la pérdida de funcionalidad ecosistémica en zonas compatibles con la minería.</w:t>
      </w:r>
    </w:p>
    <w:p w:rsidRPr="00D11C96" w:rsidR="00861E7C" w:rsidP="00352E76" w:rsidRDefault="00861E7C" w14:paraId="22B300D5" w14:textId="3AA1CE68">
      <w:pPr>
        <w:jc w:val="both"/>
        <w:rPr>
          <w:rFonts w:ascii="Garamond" w:hAnsi="Garamond"/>
          <w:sz w:val="22"/>
          <w:szCs w:val="22"/>
        </w:rPr>
      </w:pPr>
      <w:r w:rsidRPr="00D11C96">
        <w:rPr>
          <w:rFonts w:ascii="Garamond" w:hAnsi="Garamond"/>
          <w:sz w:val="22"/>
          <w:szCs w:val="22"/>
        </w:rPr>
        <w:t>En cumplimiento de la Orden 4.26, que exige la delimitación de zonas excluidas de minería y la restauración morfológica y ambiental de suelos intervenidos, la Resolución establece en su Artículo 19</w:t>
      </w:r>
      <w:r w:rsidRPr="00D11C96" w:rsidR="00352E76">
        <w:rPr>
          <w:rFonts w:ascii="Garamond" w:hAnsi="Garamond"/>
          <w:sz w:val="22"/>
          <w:szCs w:val="22"/>
        </w:rPr>
        <w:t xml:space="preserve">, </w:t>
      </w:r>
      <w:r w:rsidRPr="00D11C96">
        <w:rPr>
          <w:rFonts w:ascii="Garamond" w:hAnsi="Garamond"/>
          <w:sz w:val="22"/>
          <w:szCs w:val="22"/>
        </w:rPr>
        <w:t xml:space="preserve">directrices para asegurar la integridad ecológica. El impacto sobre los instrumentos minero-ambientales se manifiesta en la obligación de "priorizar la rehabilitación ecológica y las acciones de adaptación al cambio climático como principales actividades </w:t>
      </w:r>
      <w:proofErr w:type="spellStart"/>
      <w:r w:rsidRPr="00D11C96">
        <w:rPr>
          <w:rFonts w:ascii="Garamond" w:hAnsi="Garamond"/>
          <w:sz w:val="22"/>
          <w:szCs w:val="22"/>
        </w:rPr>
        <w:t>postmineras</w:t>
      </w:r>
      <w:proofErr w:type="spellEnd"/>
      <w:r w:rsidRPr="00D11C96">
        <w:rPr>
          <w:rFonts w:ascii="Garamond" w:hAnsi="Garamond"/>
          <w:sz w:val="22"/>
          <w:szCs w:val="22"/>
        </w:rPr>
        <w:t>" (Artículo 21).</w:t>
      </w:r>
    </w:p>
    <w:p w:rsidRPr="00D11C96" w:rsidR="00861E7C" w:rsidP="00352E76" w:rsidRDefault="00861E7C" w14:paraId="0C4B016D" w14:textId="2E49D452">
      <w:pPr>
        <w:jc w:val="both"/>
        <w:rPr>
          <w:rFonts w:ascii="Garamond" w:hAnsi="Garamond"/>
          <w:sz w:val="22"/>
          <w:szCs w:val="22"/>
        </w:rPr>
      </w:pPr>
      <w:r w:rsidRPr="00D11C96">
        <w:rPr>
          <w:rFonts w:ascii="Garamond" w:hAnsi="Garamond"/>
          <w:sz w:val="22"/>
          <w:szCs w:val="22"/>
        </w:rPr>
        <w:t xml:space="preserve">Esto implica que los titulares mineros y las autoridades ambientales, al momento de evaluar y ejecutar los planes de cierre y abandono, deberán </w:t>
      </w:r>
      <w:r w:rsidRPr="00D11C96" w:rsidR="00352E76">
        <w:rPr>
          <w:rFonts w:ascii="Garamond" w:hAnsi="Garamond"/>
          <w:sz w:val="22"/>
          <w:szCs w:val="22"/>
        </w:rPr>
        <w:t xml:space="preserve">preferentemente, </w:t>
      </w:r>
      <w:r w:rsidRPr="00D11C96">
        <w:rPr>
          <w:rFonts w:ascii="Garamond" w:hAnsi="Garamond"/>
          <w:sz w:val="22"/>
          <w:szCs w:val="22"/>
        </w:rPr>
        <w:t>dirigir sus esfuerzos</w:t>
      </w:r>
      <w:r w:rsidRPr="00D11C96" w:rsidR="00352E76">
        <w:rPr>
          <w:rFonts w:ascii="Garamond" w:hAnsi="Garamond"/>
          <w:sz w:val="22"/>
          <w:szCs w:val="22"/>
        </w:rPr>
        <w:t xml:space="preserve"> </w:t>
      </w:r>
      <w:r w:rsidRPr="00D11C96">
        <w:rPr>
          <w:rFonts w:ascii="Garamond" w:hAnsi="Garamond"/>
          <w:sz w:val="22"/>
          <w:szCs w:val="22"/>
        </w:rPr>
        <w:t>hacia la recuperación de áreas con subxerofitia, zonas de recarga de acuíferos y áreas estratégicas para la conectividad regional. La Resolución transforma el cierre minero de una obligación administrativa a una oportunidad de restauración ecológica, alineando los instrumentos mineros con las metas regionales de conservación y los mandatos de la Sentencia sobre pasivos ambientales.</w:t>
      </w:r>
    </w:p>
    <w:p w:rsidRPr="00D11C96" w:rsidR="00861E7C" w:rsidP="00352E76" w:rsidRDefault="00861E7C" w14:paraId="34826C4B" w14:textId="3EF37011">
      <w:pPr>
        <w:pStyle w:val="Heading2"/>
        <w:numPr>
          <w:ilvl w:val="1"/>
          <w:numId w:val="10"/>
        </w:numPr>
      </w:pPr>
      <w:bookmarkStart w:name="_Toc216938702" w:id="9"/>
      <w:r w:rsidRPr="00D11C96">
        <w:t>Efectos sobre los instrumentos de financiación</w:t>
      </w:r>
      <w:bookmarkEnd w:id="9"/>
    </w:p>
    <w:p w:rsidRPr="00D11C96" w:rsidR="00861E7C" w:rsidP="00352E76" w:rsidRDefault="00861E7C" w14:paraId="0A815958" w14:textId="77777777">
      <w:pPr>
        <w:jc w:val="both"/>
        <w:rPr>
          <w:rFonts w:ascii="Garamond" w:hAnsi="Garamond"/>
          <w:sz w:val="22"/>
          <w:szCs w:val="22"/>
        </w:rPr>
      </w:pPr>
      <w:r w:rsidRPr="00D11C96">
        <w:rPr>
          <w:rFonts w:ascii="Garamond" w:hAnsi="Garamond"/>
          <w:sz w:val="22"/>
          <w:szCs w:val="22"/>
        </w:rPr>
        <w:t>Desde una perspectiva fiscal y financiera, es fundamental precisar que la adopción de las Directrices de Ordenamiento Ambiental de la Sabana de Bogotá se diseñó bajo un principio de neutralidad tributaria. El análisis de los instrumentos de financiación municipal (Impuesto Predial, Valorización y Plusvalía) evidencia que la Resolución no genera desequilibrios en las finanzas territoriales ni modifica las bases gravables existentes.</w:t>
      </w:r>
    </w:p>
    <w:p w:rsidRPr="00D11C96" w:rsidR="00BC63FD" w:rsidP="0092010A" w:rsidRDefault="00BC63FD" w14:paraId="456FB5C4" w14:textId="7E056A61">
      <w:pPr>
        <w:jc w:val="both"/>
        <w:rPr>
          <w:rFonts w:ascii="Garamond" w:hAnsi="Garamond"/>
          <w:b/>
          <w:bCs/>
          <w:sz w:val="22"/>
          <w:szCs w:val="22"/>
        </w:rPr>
      </w:pPr>
      <w:r w:rsidRPr="00D11C96">
        <w:rPr>
          <w:rFonts w:ascii="Garamond" w:hAnsi="Garamond"/>
          <w:b/>
          <w:bCs/>
          <w:sz w:val="22"/>
          <w:szCs w:val="22"/>
        </w:rPr>
        <w:t>Impuesto Predial Unificado (IPU)</w:t>
      </w:r>
    </w:p>
    <w:p w:rsidRPr="00D11C96" w:rsidR="003B6974" w:rsidP="0092010A" w:rsidRDefault="0092010A" w14:paraId="56F3ED86" w14:textId="5529F382">
      <w:pPr>
        <w:jc w:val="both"/>
        <w:rPr>
          <w:rFonts w:ascii="Garamond" w:hAnsi="Garamond"/>
          <w:sz w:val="22"/>
          <w:szCs w:val="22"/>
        </w:rPr>
      </w:pPr>
      <w:r w:rsidRPr="00D11C96">
        <w:rPr>
          <w:rFonts w:ascii="Garamond" w:hAnsi="Garamond"/>
          <w:sz w:val="22"/>
          <w:szCs w:val="22"/>
        </w:rPr>
        <w:t>Inicialmente el I</w:t>
      </w:r>
      <w:r w:rsidRPr="00D11C96" w:rsidR="003B6974">
        <w:rPr>
          <w:rFonts w:ascii="Garamond" w:hAnsi="Garamond"/>
          <w:sz w:val="22"/>
          <w:szCs w:val="22"/>
        </w:rPr>
        <w:t>mpuesto Predial</w:t>
      </w:r>
      <w:r w:rsidRPr="00D11C96">
        <w:rPr>
          <w:rFonts w:ascii="Garamond" w:hAnsi="Garamond"/>
          <w:sz w:val="22"/>
          <w:szCs w:val="22"/>
        </w:rPr>
        <w:t xml:space="preserve">, fue adoptado </w:t>
      </w:r>
      <w:r w:rsidRPr="00D11C96" w:rsidR="003B6974">
        <w:rPr>
          <w:rFonts w:ascii="Garamond" w:hAnsi="Garamond"/>
          <w:sz w:val="22"/>
          <w:szCs w:val="22"/>
        </w:rPr>
        <w:t xml:space="preserve">en 1887 mediante la </w:t>
      </w:r>
      <w:r w:rsidRPr="00D11C96">
        <w:rPr>
          <w:rFonts w:ascii="Garamond" w:hAnsi="Garamond"/>
          <w:sz w:val="22"/>
          <w:szCs w:val="22"/>
        </w:rPr>
        <w:t>Ley 48</w:t>
      </w:r>
      <w:r w:rsidRPr="00D11C96" w:rsidR="00D60F8D">
        <w:rPr>
          <w:rFonts w:ascii="Garamond" w:hAnsi="Garamond"/>
          <w:sz w:val="22"/>
          <w:szCs w:val="22"/>
        </w:rPr>
        <w:t xml:space="preserve">, que definió sobre los bienes inmuebles </w:t>
      </w:r>
      <w:r w:rsidRPr="00D11C96" w:rsidR="00F601D9">
        <w:rPr>
          <w:rFonts w:ascii="Garamond" w:hAnsi="Garamond"/>
          <w:sz w:val="22"/>
          <w:szCs w:val="22"/>
        </w:rPr>
        <w:t>o</w:t>
      </w:r>
      <w:r w:rsidRPr="00D11C96" w:rsidR="00D60F8D">
        <w:rPr>
          <w:rFonts w:ascii="Garamond" w:hAnsi="Garamond"/>
          <w:sz w:val="22"/>
          <w:szCs w:val="22"/>
        </w:rPr>
        <w:t xml:space="preserve"> raíces, la posibilidad de gravarse anualmente, hasta con el cuatro por mil destinado </w:t>
      </w:r>
      <w:r w:rsidRPr="00D11C96" w:rsidR="0051673D">
        <w:rPr>
          <w:rFonts w:ascii="Garamond" w:hAnsi="Garamond"/>
          <w:sz w:val="22"/>
          <w:szCs w:val="22"/>
        </w:rPr>
        <w:t>a</w:t>
      </w:r>
      <w:r w:rsidRPr="00D11C96" w:rsidR="00D60F8D">
        <w:rPr>
          <w:rFonts w:ascii="Garamond" w:hAnsi="Garamond"/>
          <w:sz w:val="22"/>
          <w:szCs w:val="22"/>
        </w:rPr>
        <w:t xml:space="preserve"> los Departamentos, y el dos por mil para los Distritos municipales, más adelante c</w:t>
      </w:r>
      <w:r w:rsidRPr="00D11C96">
        <w:rPr>
          <w:rFonts w:ascii="Garamond" w:hAnsi="Garamond"/>
          <w:sz w:val="22"/>
          <w:szCs w:val="22"/>
        </w:rPr>
        <w:t xml:space="preserve">on la Ley 20 de 1908, </w:t>
      </w:r>
      <w:r w:rsidRPr="00D11C96" w:rsidR="00D60F8D">
        <w:rPr>
          <w:rFonts w:ascii="Garamond" w:hAnsi="Garamond"/>
          <w:sz w:val="22"/>
          <w:szCs w:val="22"/>
        </w:rPr>
        <w:t>se confiere exclusivamente a los Distritos</w:t>
      </w:r>
      <w:r w:rsidRPr="00D11C96" w:rsidR="00F601D9">
        <w:rPr>
          <w:rFonts w:ascii="Garamond" w:hAnsi="Garamond"/>
          <w:sz w:val="22"/>
          <w:szCs w:val="22"/>
        </w:rPr>
        <w:t xml:space="preserve"> y municipios,</w:t>
      </w:r>
      <w:r w:rsidRPr="00D11C96" w:rsidR="00D60F8D">
        <w:rPr>
          <w:rFonts w:ascii="Garamond" w:hAnsi="Garamond"/>
          <w:sz w:val="22"/>
          <w:szCs w:val="22"/>
        </w:rPr>
        <w:t xml:space="preserve"> la facultad de crear, administrar </w:t>
      </w:r>
      <w:r w:rsidRPr="00D11C96" w:rsidR="00F601D9">
        <w:rPr>
          <w:rFonts w:ascii="Garamond" w:hAnsi="Garamond"/>
          <w:sz w:val="22"/>
          <w:szCs w:val="22"/>
        </w:rPr>
        <w:t>e</w:t>
      </w:r>
      <w:r w:rsidRPr="00D11C96" w:rsidR="00D60F8D">
        <w:rPr>
          <w:rFonts w:ascii="Garamond" w:hAnsi="Garamond"/>
          <w:sz w:val="22"/>
          <w:szCs w:val="22"/>
        </w:rPr>
        <w:t xml:space="preserve"> </w:t>
      </w:r>
      <w:r w:rsidRPr="00D11C96" w:rsidR="00F601D9">
        <w:rPr>
          <w:rFonts w:ascii="Garamond" w:hAnsi="Garamond"/>
          <w:sz w:val="22"/>
          <w:szCs w:val="22"/>
        </w:rPr>
        <w:t>invertir</w:t>
      </w:r>
      <w:r w:rsidRPr="00D11C96" w:rsidR="00D60F8D">
        <w:rPr>
          <w:rFonts w:ascii="Garamond" w:hAnsi="Garamond"/>
          <w:sz w:val="22"/>
          <w:szCs w:val="22"/>
        </w:rPr>
        <w:t xml:space="preserve"> sus propias rentas, sin contravenir </w:t>
      </w:r>
      <w:r w:rsidRPr="00D11C96" w:rsidR="00F601D9">
        <w:rPr>
          <w:rFonts w:ascii="Garamond" w:hAnsi="Garamond"/>
          <w:sz w:val="22"/>
          <w:szCs w:val="22"/>
        </w:rPr>
        <w:t>a</w:t>
      </w:r>
      <w:r w:rsidRPr="00D11C96" w:rsidR="00D60F8D">
        <w:rPr>
          <w:rFonts w:ascii="Garamond" w:hAnsi="Garamond"/>
          <w:sz w:val="22"/>
          <w:szCs w:val="22"/>
        </w:rPr>
        <w:t xml:space="preserve"> las leyes y ordenanzas vigentes.</w:t>
      </w:r>
      <w:r w:rsidRPr="00D11C96" w:rsidR="00F601D9">
        <w:rPr>
          <w:rFonts w:ascii="Garamond" w:hAnsi="Garamond"/>
          <w:sz w:val="22"/>
          <w:szCs w:val="22"/>
        </w:rPr>
        <w:t xml:space="preserve"> A lo largo de los siguientes años, mediante la Ley 14 de 1983, la ley 1333 de 1986, el Decreto Ley 1999 de 1986 y la Ley 44 de 1990 se reglamentaron aspectos tarifarios y de unificación del recaudo.</w:t>
      </w:r>
    </w:p>
    <w:p w:rsidRPr="00D11C96" w:rsidR="00F601D9" w:rsidP="0092010A" w:rsidRDefault="0092010A" w14:paraId="38ED9D08" w14:textId="77777777">
      <w:pPr>
        <w:jc w:val="both"/>
        <w:rPr>
          <w:rFonts w:ascii="Garamond" w:hAnsi="Garamond"/>
          <w:sz w:val="22"/>
          <w:szCs w:val="22"/>
        </w:rPr>
      </w:pPr>
      <w:r w:rsidRPr="00D11C96">
        <w:rPr>
          <w:rFonts w:ascii="Garamond" w:hAnsi="Garamond"/>
          <w:sz w:val="22"/>
          <w:szCs w:val="22"/>
        </w:rPr>
        <w:t xml:space="preserve">En el año 1991, </w:t>
      </w:r>
      <w:r w:rsidRPr="00D11C96" w:rsidR="00F601D9">
        <w:rPr>
          <w:rFonts w:ascii="Garamond" w:hAnsi="Garamond"/>
          <w:sz w:val="22"/>
          <w:szCs w:val="22"/>
        </w:rPr>
        <w:t>se declara</w:t>
      </w:r>
      <w:r w:rsidRPr="00D11C96">
        <w:rPr>
          <w:rFonts w:ascii="Garamond" w:hAnsi="Garamond"/>
          <w:sz w:val="22"/>
          <w:szCs w:val="22"/>
        </w:rPr>
        <w:t xml:space="preserve"> a los municipios y distritos la titularidad absoluta del impuesto</w:t>
      </w:r>
      <w:r w:rsidRPr="00D11C96" w:rsidR="00F601D9">
        <w:rPr>
          <w:rFonts w:ascii="Garamond" w:hAnsi="Garamond"/>
          <w:sz w:val="22"/>
          <w:szCs w:val="22"/>
        </w:rPr>
        <w:t xml:space="preserve"> y posteriormente se realiza un ajuste en pro de la</w:t>
      </w:r>
      <w:r w:rsidRPr="00D11C96">
        <w:rPr>
          <w:rFonts w:ascii="Garamond" w:hAnsi="Garamond"/>
          <w:sz w:val="22"/>
          <w:szCs w:val="22"/>
        </w:rPr>
        <w:t xml:space="preserve"> transferencia de un</w:t>
      </w:r>
      <w:r w:rsidRPr="00D11C96" w:rsidR="00F601D9">
        <w:rPr>
          <w:rFonts w:ascii="Garamond" w:hAnsi="Garamond"/>
          <w:sz w:val="22"/>
          <w:szCs w:val="22"/>
        </w:rPr>
        <w:t xml:space="preserve"> porcentaje de participación destinado </w:t>
      </w:r>
      <w:r w:rsidRPr="00D11C96">
        <w:rPr>
          <w:rFonts w:ascii="Garamond" w:hAnsi="Garamond"/>
          <w:sz w:val="22"/>
          <w:szCs w:val="22"/>
        </w:rPr>
        <w:t xml:space="preserve">a las Corporaciones Autónomas, y ocasionalmente a las Áreas Metropolitanas. </w:t>
      </w:r>
    </w:p>
    <w:p w:rsidRPr="00D11C96" w:rsidR="001032D4" w:rsidP="0092010A" w:rsidRDefault="00F601D9" w14:paraId="4C3211E1" w14:textId="5C179B0A">
      <w:pPr>
        <w:jc w:val="both"/>
        <w:rPr>
          <w:rFonts w:ascii="Garamond" w:hAnsi="Garamond"/>
          <w:sz w:val="22"/>
          <w:szCs w:val="22"/>
        </w:rPr>
      </w:pPr>
      <w:r w:rsidRPr="00D11C96">
        <w:rPr>
          <w:rFonts w:ascii="Garamond" w:hAnsi="Garamond"/>
          <w:sz w:val="22"/>
          <w:szCs w:val="22"/>
        </w:rPr>
        <w:t>Posteriormente</w:t>
      </w:r>
      <w:r w:rsidRPr="00D11C96" w:rsidR="001032D4">
        <w:rPr>
          <w:rFonts w:ascii="Garamond" w:hAnsi="Garamond"/>
          <w:sz w:val="22"/>
          <w:szCs w:val="22"/>
        </w:rPr>
        <w:t xml:space="preserve"> se </w:t>
      </w:r>
      <w:r w:rsidRPr="00D11C96" w:rsidR="005609E7">
        <w:rPr>
          <w:rFonts w:ascii="Garamond" w:hAnsi="Garamond"/>
          <w:sz w:val="22"/>
          <w:szCs w:val="22"/>
        </w:rPr>
        <w:t>desarrolló</w:t>
      </w:r>
      <w:r w:rsidRPr="00D11C96" w:rsidR="001032D4">
        <w:rPr>
          <w:rFonts w:ascii="Garamond" w:hAnsi="Garamond"/>
          <w:sz w:val="22"/>
          <w:szCs w:val="22"/>
        </w:rPr>
        <w:t xml:space="preserve"> un marco normativo que principalmente reglamentó diferentes elementos del Impuesto Predial así:</w:t>
      </w:r>
    </w:p>
    <w:p w:rsidRPr="00D11C96" w:rsidR="001032D4" w:rsidP="001032D4" w:rsidRDefault="0092010A" w14:paraId="028F450F" w14:textId="56CA09C5">
      <w:pPr>
        <w:pStyle w:val="ListParagraph"/>
        <w:numPr>
          <w:ilvl w:val="0"/>
          <w:numId w:val="11"/>
        </w:numPr>
        <w:jc w:val="both"/>
        <w:rPr>
          <w:rFonts w:ascii="Garamond" w:hAnsi="Garamond"/>
          <w:sz w:val="22"/>
          <w:szCs w:val="22"/>
        </w:rPr>
      </w:pPr>
      <w:r w:rsidRPr="00D11C96">
        <w:rPr>
          <w:rFonts w:ascii="Garamond" w:hAnsi="Garamond"/>
          <w:sz w:val="22"/>
          <w:szCs w:val="22"/>
        </w:rPr>
        <w:t>Ley 1111</w:t>
      </w:r>
      <w:r w:rsidRPr="00D11C96" w:rsidR="00283CCC">
        <w:rPr>
          <w:rFonts w:ascii="Garamond" w:hAnsi="Garamond"/>
          <w:sz w:val="22"/>
          <w:szCs w:val="22"/>
        </w:rPr>
        <w:t xml:space="preserve"> </w:t>
      </w:r>
      <w:r w:rsidRPr="000B49EC" w:rsidR="00283CCC">
        <w:rPr>
          <w:rFonts w:ascii="Garamond" w:hAnsi="Garamond"/>
          <w:sz w:val="22"/>
          <w:szCs w:val="22"/>
        </w:rPr>
        <w:t>de 2006</w:t>
      </w:r>
      <w:r w:rsidRPr="00D11C96" w:rsidR="00F601D9">
        <w:rPr>
          <w:rFonts w:ascii="Garamond" w:hAnsi="Garamond"/>
          <w:sz w:val="22"/>
          <w:szCs w:val="22"/>
        </w:rPr>
        <w:t xml:space="preserve"> reglamentó</w:t>
      </w:r>
      <w:r w:rsidRPr="00D11C96">
        <w:rPr>
          <w:rFonts w:ascii="Garamond" w:hAnsi="Garamond"/>
          <w:sz w:val="22"/>
          <w:szCs w:val="22"/>
        </w:rPr>
        <w:t xml:space="preserve"> </w:t>
      </w:r>
      <w:r w:rsidRPr="00D11C96" w:rsidR="00F601D9">
        <w:rPr>
          <w:rFonts w:ascii="Garamond" w:hAnsi="Garamond"/>
          <w:sz w:val="22"/>
          <w:szCs w:val="22"/>
        </w:rPr>
        <w:t>aspectos de la</w:t>
      </w:r>
      <w:r w:rsidRPr="00D11C96">
        <w:rPr>
          <w:rFonts w:ascii="Garamond" w:hAnsi="Garamond"/>
          <w:sz w:val="22"/>
          <w:szCs w:val="22"/>
        </w:rPr>
        <w:t xml:space="preserve"> facturación del impuesto predial,</w:t>
      </w:r>
    </w:p>
    <w:p w:rsidRPr="00D11C96" w:rsidR="00A518A2" w:rsidP="001032D4" w:rsidRDefault="0092010A" w14:paraId="566F7AC2" w14:textId="77777777">
      <w:pPr>
        <w:pStyle w:val="ListParagraph"/>
        <w:numPr>
          <w:ilvl w:val="0"/>
          <w:numId w:val="11"/>
        </w:numPr>
        <w:jc w:val="both"/>
        <w:rPr>
          <w:rFonts w:ascii="Garamond" w:hAnsi="Garamond"/>
          <w:sz w:val="22"/>
          <w:szCs w:val="22"/>
        </w:rPr>
      </w:pPr>
      <w:r w:rsidRPr="00D11C96">
        <w:rPr>
          <w:rFonts w:ascii="Garamond" w:hAnsi="Garamond"/>
          <w:sz w:val="22"/>
          <w:szCs w:val="22"/>
        </w:rPr>
        <w:t>Ley 1430</w:t>
      </w:r>
      <w:r w:rsidRPr="00D11C96" w:rsidR="00D86CAD">
        <w:rPr>
          <w:rFonts w:ascii="Garamond" w:hAnsi="Garamond"/>
          <w:sz w:val="22"/>
          <w:szCs w:val="22"/>
        </w:rPr>
        <w:t xml:space="preserve"> </w:t>
      </w:r>
      <w:r w:rsidRPr="00D11C96">
        <w:rPr>
          <w:rFonts w:ascii="Garamond" w:hAnsi="Garamond"/>
          <w:sz w:val="22"/>
          <w:szCs w:val="22"/>
        </w:rPr>
        <w:t xml:space="preserve">, referida a los sujetos pasivos del </w:t>
      </w:r>
      <w:r w:rsidRPr="00D11C96" w:rsidR="001032D4">
        <w:rPr>
          <w:rFonts w:ascii="Garamond" w:hAnsi="Garamond"/>
          <w:sz w:val="22"/>
          <w:szCs w:val="22"/>
        </w:rPr>
        <w:t>impuesto predial</w:t>
      </w:r>
      <w:r w:rsidRPr="00D11C96">
        <w:rPr>
          <w:rFonts w:ascii="Garamond" w:hAnsi="Garamond"/>
          <w:sz w:val="22"/>
          <w:szCs w:val="22"/>
        </w:rPr>
        <w:t>; l</w:t>
      </w:r>
    </w:p>
    <w:p w:rsidRPr="00D11C96" w:rsidR="001032D4" w:rsidP="001032D4" w:rsidRDefault="0092010A" w14:paraId="51C887B7" w14:textId="7F00A2B8">
      <w:pPr>
        <w:pStyle w:val="ListParagraph"/>
        <w:numPr>
          <w:ilvl w:val="0"/>
          <w:numId w:val="11"/>
        </w:numPr>
        <w:jc w:val="both"/>
        <w:rPr>
          <w:rFonts w:ascii="Garamond" w:hAnsi="Garamond"/>
          <w:sz w:val="22"/>
          <w:szCs w:val="22"/>
        </w:rPr>
      </w:pPr>
      <w:r w:rsidRPr="00D11C96">
        <w:rPr>
          <w:rFonts w:ascii="Garamond" w:hAnsi="Garamond"/>
          <w:sz w:val="22"/>
          <w:szCs w:val="22"/>
        </w:rPr>
        <w:t xml:space="preserve">a Ley 1450, sobre modificación de tarifas a aplicar; </w:t>
      </w:r>
    </w:p>
    <w:p w:rsidRPr="00D11C96" w:rsidR="001032D4" w:rsidP="001032D4" w:rsidRDefault="0092010A" w14:paraId="4AF287EF" w14:textId="5555A5DA">
      <w:pPr>
        <w:pStyle w:val="ListParagraph"/>
        <w:numPr>
          <w:ilvl w:val="0"/>
          <w:numId w:val="11"/>
        </w:numPr>
        <w:jc w:val="both"/>
        <w:rPr>
          <w:rFonts w:ascii="Garamond" w:hAnsi="Garamond"/>
          <w:sz w:val="22"/>
          <w:szCs w:val="22"/>
        </w:rPr>
      </w:pPr>
      <w:r w:rsidRPr="00D11C96">
        <w:rPr>
          <w:rFonts w:ascii="Garamond" w:hAnsi="Garamond"/>
          <w:sz w:val="22"/>
          <w:szCs w:val="22"/>
        </w:rPr>
        <w:t xml:space="preserve">Ley 1607, sobre sujetos pasivos; </w:t>
      </w:r>
    </w:p>
    <w:p w:rsidRPr="00D11C96" w:rsidR="001032D4" w:rsidP="001032D4" w:rsidRDefault="0092010A" w14:paraId="2D9F3FBA" w14:textId="22900E26">
      <w:pPr>
        <w:pStyle w:val="ListParagraph"/>
        <w:numPr>
          <w:ilvl w:val="0"/>
          <w:numId w:val="11"/>
        </w:numPr>
        <w:jc w:val="both"/>
        <w:rPr>
          <w:rFonts w:ascii="Garamond" w:hAnsi="Garamond"/>
          <w:sz w:val="22"/>
          <w:szCs w:val="22"/>
        </w:rPr>
      </w:pPr>
      <w:r w:rsidRPr="00D11C96">
        <w:rPr>
          <w:rFonts w:ascii="Garamond" w:hAnsi="Garamond"/>
          <w:sz w:val="22"/>
          <w:szCs w:val="22"/>
        </w:rPr>
        <w:t xml:space="preserve">Ley </w:t>
      </w:r>
      <w:r w:rsidRPr="000B49EC">
        <w:rPr>
          <w:rFonts w:ascii="Garamond" w:hAnsi="Garamond"/>
          <w:sz w:val="22"/>
          <w:szCs w:val="22"/>
        </w:rPr>
        <w:t>1819</w:t>
      </w:r>
      <w:r w:rsidRPr="000B49EC" w:rsidR="00283CCC">
        <w:rPr>
          <w:rFonts w:ascii="Garamond" w:hAnsi="Garamond"/>
          <w:sz w:val="22"/>
          <w:szCs w:val="22"/>
        </w:rPr>
        <w:t xml:space="preserve"> del 2016</w:t>
      </w:r>
      <w:r w:rsidRPr="00D11C96">
        <w:rPr>
          <w:rFonts w:ascii="Garamond" w:hAnsi="Garamond"/>
          <w:sz w:val="22"/>
          <w:szCs w:val="22"/>
        </w:rPr>
        <w:t xml:space="preserve">, sobre facturación del </w:t>
      </w:r>
      <w:r w:rsidRPr="00D11C96" w:rsidR="001032D4">
        <w:rPr>
          <w:rFonts w:ascii="Garamond" w:hAnsi="Garamond"/>
          <w:sz w:val="22"/>
          <w:szCs w:val="22"/>
        </w:rPr>
        <w:t>impuesto predial</w:t>
      </w:r>
      <w:r w:rsidRPr="00D11C96">
        <w:rPr>
          <w:rFonts w:ascii="Garamond" w:hAnsi="Garamond"/>
          <w:sz w:val="22"/>
          <w:szCs w:val="22"/>
        </w:rPr>
        <w:t xml:space="preserve">, y recientemente la </w:t>
      </w:r>
    </w:p>
    <w:p w:rsidRPr="00D11C96" w:rsidR="0092010A" w:rsidP="001032D4" w:rsidRDefault="0092010A" w14:paraId="5CFE52B4" w14:textId="77E1D46D">
      <w:pPr>
        <w:pStyle w:val="ListParagraph"/>
        <w:numPr>
          <w:ilvl w:val="0"/>
          <w:numId w:val="11"/>
        </w:numPr>
        <w:jc w:val="both"/>
        <w:rPr>
          <w:rFonts w:ascii="Garamond" w:hAnsi="Garamond"/>
          <w:sz w:val="22"/>
          <w:szCs w:val="22"/>
        </w:rPr>
      </w:pPr>
      <w:r w:rsidRPr="00D11C96">
        <w:rPr>
          <w:rFonts w:ascii="Garamond" w:hAnsi="Garamond"/>
          <w:sz w:val="22"/>
          <w:szCs w:val="22"/>
        </w:rPr>
        <w:t>Ley 1995, sobre límite del impuesto a cargo.</w:t>
      </w:r>
    </w:p>
    <w:p w:rsidRPr="00D11C96" w:rsidR="00AC1D57" w:rsidP="001032D4" w:rsidRDefault="00AC1D57" w14:paraId="106E7501" w14:textId="079F1670">
      <w:pPr>
        <w:pStyle w:val="ListParagraph"/>
        <w:numPr>
          <w:ilvl w:val="0"/>
          <w:numId w:val="11"/>
        </w:numPr>
        <w:jc w:val="both"/>
        <w:rPr>
          <w:rFonts w:ascii="Garamond" w:hAnsi="Garamond"/>
          <w:sz w:val="22"/>
          <w:szCs w:val="22"/>
        </w:rPr>
      </w:pPr>
      <w:r w:rsidRPr="00D11C96">
        <w:rPr>
          <w:rFonts w:ascii="Garamond" w:hAnsi="Garamond"/>
          <w:sz w:val="22"/>
          <w:szCs w:val="22"/>
        </w:rPr>
        <w:t>Ley 1955, en su artículo 278, normativo permite titularizar ingresos futuros de este impuesto para procesos de cierre financiero de procesos de renovación urbana.</w:t>
      </w:r>
    </w:p>
    <w:p w:rsidRPr="00D11C96" w:rsidR="003C1069" w:rsidP="00D357CA" w:rsidRDefault="001032D4" w14:paraId="3BB0D11B" w14:textId="0D332AE1">
      <w:pPr>
        <w:jc w:val="both"/>
        <w:rPr>
          <w:rFonts w:ascii="Garamond" w:hAnsi="Garamond"/>
          <w:sz w:val="22"/>
          <w:szCs w:val="22"/>
        </w:rPr>
      </w:pPr>
      <w:r w:rsidRPr="00D11C96">
        <w:rPr>
          <w:rFonts w:ascii="Garamond" w:hAnsi="Garamond"/>
          <w:sz w:val="22"/>
          <w:szCs w:val="22"/>
        </w:rPr>
        <w:t xml:space="preserve">De acuerdo con el Ministerio de </w:t>
      </w:r>
      <w:r w:rsidRPr="00D11C96" w:rsidR="00A518A2">
        <w:rPr>
          <w:rFonts w:ascii="Garamond" w:hAnsi="Garamond"/>
          <w:sz w:val="22"/>
          <w:szCs w:val="22"/>
        </w:rPr>
        <w:t>Vivienda</w:t>
      </w:r>
      <w:r w:rsidRPr="00D11C96">
        <w:rPr>
          <w:rFonts w:ascii="Garamond" w:hAnsi="Garamond"/>
          <w:sz w:val="22"/>
          <w:szCs w:val="22"/>
        </w:rPr>
        <w:t xml:space="preserve"> (2025), a</w:t>
      </w:r>
      <w:r w:rsidRPr="00D11C96" w:rsidR="0092010A">
        <w:rPr>
          <w:rFonts w:ascii="Garamond" w:hAnsi="Garamond"/>
          <w:sz w:val="22"/>
          <w:szCs w:val="22"/>
        </w:rPr>
        <w:t xml:space="preserve">ctualmente el </w:t>
      </w:r>
      <w:r w:rsidRPr="00D11C96" w:rsidR="00AC1D57">
        <w:rPr>
          <w:rFonts w:ascii="Garamond" w:hAnsi="Garamond"/>
          <w:sz w:val="22"/>
          <w:szCs w:val="22"/>
        </w:rPr>
        <w:t>Impuesto Predial Unificado (</w:t>
      </w:r>
      <w:r w:rsidRPr="00D11C96" w:rsidR="0092010A">
        <w:rPr>
          <w:rFonts w:ascii="Garamond" w:hAnsi="Garamond"/>
          <w:sz w:val="22"/>
          <w:szCs w:val="22"/>
        </w:rPr>
        <w:t>IPU</w:t>
      </w:r>
      <w:r w:rsidRPr="00D11C96" w:rsidR="00AC1D57">
        <w:rPr>
          <w:rFonts w:ascii="Garamond" w:hAnsi="Garamond"/>
          <w:sz w:val="22"/>
          <w:szCs w:val="22"/>
        </w:rPr>
        <w:t>)</w:t>
      </w:r>
      <w:r w:rsidRPr="00D11C96" w:rsidR="0092010A">
        <w:rPr>
          <w:rFonts w:ascii="Garamond" w:hAnsi="Garamond"/>
          <w:sz w:val="22"/>
          <w:szCs w:val="22"/>
        </w:rPr>
        <w:t xml:space="preserve"> es un impuesto de propiedad exclusiva de los municipios y distritos, cuyo hecho generador es la propiedad o existencia de un bien inmueble, señalando que el mismo se encuentra adoptado en todos los municipios del país, constituyéndose como una de las principales rentas municipales y distritales. El mismo constituye una renta de especial importancia para los territorios y dada su propiedad en los municipios y distritos constituye un ingreso de libre destinación, el cual con su mejora en la gestión permitiría a los municipios mejorar sus</w:t>
      </w:r>
      <w:r w:rsidRPr="00D11C96" w:rsidR="003C1069">
        <w:rPr>
          <w:rFonts w:ascii="Garamond" w:hAnsi="Garamond"/>
          <w:sz w:val="22"/>
          <w:szCs w:val="22"/>
        </w:rPr>
        <w:t xml:space="preserve"> </w:t>
      </w:r>
      <w:r w:rsidRPr="00D11C96" w:rsidR="0092010A">
        <w:rPr>
          <w:rFonts w:ascii="Garamond" w:hAnsi="Garamond"/>
          <w:sz w:val="22"/>
          <w:szCs w:val="22"/>
        </w:rPr>
        <w:t>indicadores de eficiencia fiscal y su categoría, según los rangos señalados en la Ley 617.</w:t>
      </w:r>
    </w:p>
    <w:p w:rsidRPr="00D11C96" w:rsidR="0092010A" w:rsidP="0051673D" w:rsidRDefault="0051673D" w14:paraId="51549D00" w14:textId="78024687">
      <w:pPr>
        <w:jc w:val="both"/>
        <w:rPr>
          <w:rFonts w:ascii="Garamond" w:hAnsi="Garamond"/>
          <w:sz w:val="22"/>
          <w:szCs w:val="22"/>
        </w:rPr>
      </w:pPr>
      <w:r w:rsidRPr="00D11C96">
        <w:rPr>
          <w:rFonts w:ascii="Garamond" w:hAnsi="Garamond"/>
          <w:sz w:val="22"/>
          <w:szCs w:val="22"/>
        </w:rPr>
        <w:t xml:space="preserve">Adicionalmente, es importante resaltar que el catastro </w:t>
      </w:r>
      <w:r w:rsidRPr="00D11C96" w:rsidR="0092010A">
        <w:rPr>
          <w:rFonts w:ascii="Garamond" w:hAnsi="Garamond"/>
          <w:sz w:val="22"/>
          <w:szCs w:val="22"/>
        </w:rPr>
        <w:t xml:space="preserve">constituye la base gravable sobre la cual se liquida el </w:t>
      </w:r>
      <w:r w:rsidRPr="00D11C96">
        <w:rPr>
          <w:rFonts w:ascii="Garamond" w:hAnsi="Garamond"/>
          <w:sz w:val="22"/>
          <w:szCs w:val="22"/>
        </w:rPr>
        <w:t>IPU</w:t>
      </w:r>
      <w:r w:rsidRPr="00D11C96" w:rsidR="0092010A">
        <w:rPr>
          <w:rFonts w:ascii="Garamond" w:hAnsi="Garamond"/>
          <w:sz w:val="22"/>
          <w:szCs w:val="22"/>
        </w:rPr>
        <w:t xml:space="preserve">, por lo que </w:t>
      </w:r>
      <w:r w:rsidRPr="00D11C96" w:rsidR="00283CCC">
        <w:rPr>
          <w:rFonts w:ascii="Garamond" w:hAnsi="Garamond"/>
          <w:sz w:val="22"/>
          <w:szCs w:val="22"/>
        </w:rPr>
        <w:t>el dimensionamiento de las finanzas locales depende del nivel de actualización del catastro y las tarifas definidas por parte del con</w:t>
      </w:r>
      <w:r w:rsidRPr="00D11C96" w:rsidR="00BC63FD">
        <w:rPr>
          <w:rFonts w:ascii="Garamond" w:hAnsi="Garamond"/>
          <w:sz w:val="22"/>
          <w:szCs w:val="22"/>
        </w:rPr>
        <w:t>c</w:t>
      </w:r>
      <w:r w:rsidRPr="00D11C96" w:rsidR="00283CCC">
        <w:rPr>
          <w:rFonts w:ascii="Garamond" w:hAnsi="Garamond"/>
          <w:sz w:val="22"/>
          <w:szCs w:val="22"/>
        </w:rPr>
        <w:t>ejo municipal</w:t>
      </w:r>
      <w:r w:rsidRPr="00D11C96" w:rsidR="000E2394">
        <w:rPr>
          <w:rFonts w:ascii="Garamond" w:hAnsi="Garamond"/>
          <w:sz w:val="22"/>
          <w:szCs w:val="22"/>
        </w:rPr>
        <w:t xml:space="preserve"> en el marco de la Ley 44 de 1990</w:t>
      </w:r>
      <w:r w:rsidRPr="00D11C96" w:rsidR="0092010A">
        <w:rPr>
          <w:rFonts w:ascii="Garamond" w:hAnsi="Garamond"/>
          <w:sz w:val="22"/>
          <w:szCs w:val="22"/>
        </w:rPr>
        <w:t>.</w:t>
      </w:r>
    </w:p>
    <w:p w:rsidRPr="00D11C96" w:rsidR="000E2394" w:rsidP="0051673D" w:rsidRDefault="009F1170" w14:paraId="4D0AB205" w14:textId="74C1E816">
      <w:pPr>
        <w:jc w:val="both"/>
        <w:rPr>
          <w:rFonts w:ascii="Garamond" w:hAnsi="Garamond"/>
          <w:sz w:val="22"/>
          <w:szCs w:val="22"/>
        </w:rPr>
      </w:pPr>
      <w:r w:rsidRPr="00D11C96">
        <w:rPr>
          <w:rFonts w:ascii="Garamond" w:hAnsi="Garamond"/>
          <w:sz w:val="22"/>
          <w:szCs w:val="22"/>
        </w:rPr>
        <w:t>Estas tarifas es posible definirlas teniendo en cuenta los criterios que a continuación se enlistan:</w:t>
      </w:r>
    </w:p>
    <w:p w:rsidRPr="00D11C96" w:rsidR="009F1170" w:rsidP="009F1170" w:rsidRDefault="009F1170" w14:paraId="1A080E8F" w14:textId="77777777">
      <w:pPr>
        <w:spacing w:after="0" w:line="240" w:lineRule="auto"/>
        <w:jc w:val="both"/>
        <w:rPr>
          <w:rFonts w:ascii="Garamond" w:hAnsi="Garamond"/>
          <w:sz w:val="22"/>
          <w:szCs w:val="22"/>
        </w:rPr>
      </w:pPr>
      <w:r w:rsidRPr="00D11C96">
        <w:rPr>
          <w:rFonts w:ascii="Garamond" w:hAnsi="Garamond"/>
          <w:sz w:val="22"/>
          <w:szCs w:val="22"/>
        </w:rPr>
        <w:t>1. Los estratos socioeconómicos.</w:t>
      </w:r>
    </w:p>
    <w:p w:rsidRPr="00D11C96" w:rsidR="009F1170" w:rsidP="009F1170" w:rsidRDefault="009F1170" w14:paraId="5B7C43FA" w14:textId="3C921C74">
      <w:pPr>
        <w:spacing w:after="0" w:line="240" w:lineRule="auto"/>
        <w:jc w:val="both"/>
        <w:rPr>
          <w:rFonts w:ascii="Garamond" w:hAnsi="Garamond"/>
          <w:sz w:val="22"/>
          <w:szCs w:val="22"/>
        </w:rPr>
      </w:pPr>
      <w:r w:rsidRPr="00D11C96">
        <w:rPr>
          <w:rFonts w:ascii="Garamond" w:hAnsi="Garamond"/>
          <w:sz w:val="22"/>
          <w:szCs w:val="22"/>
        </w:rPr>
        <w:t>2. Los usos del suelo en el sector urbano.</w:t>
      </w:r>
    </w:p>
    <w:p w:rsidRPr="00D11C96" w:rsidR="009F1170" w:rsidP="009F1170" w:rsidRDefault="009F1170" w14:paraId="737C0E02" w14:textId="3EE1F8AA">
      <w:pPr>
        <w:spacing w:after="0" w:line="240" w:lineRule="auto"/>
        <w:jc w:val="both"/>
        <w:rPr>
          <w:rFonts w:ascii="Garamond" w:hAnsi="Garamond"/>
          <w:sz w:val="22"/>
          <w:szCs w:val="22"/>
        </w:rPr>
      </w:pPr>
      <w:r w:rsidRPr="00D11C96">
        <w:rPr>
          <w:rFonts w:ascii="Garamond" w:hAnsi="Garamond"/>
          <w:sz w:val="22"/>
          <w:szCs w:val="22"/>
        </w:rPr>
        <w:t>3. La antigüedad de la formación o actualización del Catastro.</w:t>
      </w:r>
    </w:p>
    <w:p w:rsidRPr="00D11C96" w:rsidR="009F1170" w:rsidP="009F1170" w:rsidRDefault="009F1170" w14:paraId="08E28E62" w14:textId="1FB41539">
      <w:pPr>
        <w:spacing w:after="0" w:line="240" w:lineRule="auto"/>
        <w:jc w:val="both"/>
        <w:rPr>
          <w:rFonts w:ascii="Garamond" w:hAnsi="Garamond"/>
          <w:sz w:val="22"/>
          <w:szCs w:val="22"/>
        </w:rPr>
      </w:pPr>
      <w:r w:rsidRPr="00D11C96">
        <w:rPr>
          <w:rFonts w:ascii="Garamond" w:hAnsi="Garamond"/>
          <w:sz w:val="22"/>
          <w:szCs w:val="22"/>
        </w:rPr>
        <w:t>4. El rango de área.</w:t>
      </w:r>
    </w:p>
    <w:p w:rsidRPr="00D11C96" w:rsidR="003C1069" w:rsidP="009F1170" w:rsidRDefault="009F1170" w14:paraId="0C3AE36E" w14:textId="1E1B200C">
      <w:pPr>
        <w:spacing w:after="0" w:line="240" w:lineRule="auto"/>
        <w:jc w:val="both"/>
        <w:rPr>
          <w:rFonts w:ascii="Garamond" w:hAnsi="Garamond"/>
          <w:sz w:val="22"/>
          <w:szCs w:val="22"/>
        </w:rPr>
      </w:pPr>
      <w:r w:rsidRPr="00D11C96">
        <w:rPr>
          <w:rFonts w:ascii="Garamond" w:hAnsi="Garamond"/>
          <w:sz w:val="22"/>
          <w:szCs w:val="22"/>
        </w:rPr>
        <w:t>5. Avalúo Catastral.</w:t>
      </w:r>
    </w:p>
    <w:p w:rsidRPr="00D11C96" w:rsidR="009F1170" w:rsidP="009F1170" w:rsidRDefault="009F1170" w14:paraId="724AEDAB" w14:textId="5F485B1D">
      <w:pPr>
        <w:spacing w:after="0" w:line="240" w:lineRule="auto"/>
        <w:jc w:val="both"/>
        <w:rPr>
          <w:rFonts w:ascii="Garamond" w:hAnsi="Garamond"/>
          <w:sz w:val="22"/>
          <w:szCs w:val="22"/>
        </w:rPr>
      </w:pPr>
    </w:p>
    <w:p w:rsidRPr="00D11C96" w:rsidR="00D8195A" w:rsidP="009F1170" w:rsidRDefault="00D8195A" w14:paraId="1D6315F2" w14:textId="636AA146">
      <w:pPr>
        <w:spacing w:after="0" w:line="240" w:lineRule="auto"/>
        <w:jc w:val="both"/>
        <w:rPr>
          <w:rFonts w:ascii="Garamond" w:hAnsi="Garamond"/>
          <w:sz w:val="22"/>
          <w:szCs w:val="22"/>
        </w:rPr>
      </w:pPr>
      <w:r w:rsidRPr="00D11C96">
        <w:rPr>
          <w:rFonts w:ascii="Garamond" w:hAnsi="Garamond"/>
          <w:sz w:val="22"/>
          <w:szCs w:val="22"/>
        </w:rPr>
        <w:t>De acuerdo con lo anterior</w:t>
      </w:r>
      <w:r w:rsidRPr="00D11C96" w:rsidR="00BC63FD">
        <w:rPr>
          <w:rFonts w:ascii="Garamond" w:hAnsi="Garamond"/>
          <w:sz w:val="22"/>
          <w:szCs w:val="22"/>
        </w:rPr>
        <w:t xml:space="preserve"> y en contraste con la propuesta de directrices de ordenamiento ambiental, dado que estas no modifican Planes de Ordenamiento vigentes, estratificación socioeconómica, la gestión catastral municipal (conformación, actualización, conservación y disposición), las áreas construidas, tarifas fiscales, ni situaciones jurídicamente consolidadas, las Directrices no impactan las finanzas municipales por concepto de impuesto predial.</w:t>
      </w:r>
    </w:p>
    <w:p w:rsidRPr="00D11C96" w:rsidR="00D8195A" w:rsidP="009F1170" w:rsidRDefault="00D8195A" w14:paraId="3529A2AD" w14:textId="77777777">
      <w:pPr>
        <w:spacing w:after="0" w:line="240" w:lineRule="auto"/>
        <w:jc w:val="both"/>
        <w:rPr>
          <w:rFonts w:ascii="Garamond" w:hAnsi="Garamond"/>
          <w:sz w:val="22"/>
          <w:szCs w:val="22"/>
        </w:rPr>
      </w:pPr>
    </w:p>
    <w:p w:rsidRPr="00D11C96" w:rsidR="00D8195A" w:rsidP="009F1170" w:rsidRDefault="00CA0E5C" w14:paraId="13302300" w14:textId="2406DD83">
      <w:pPr>
        <w:spacing w:after="0" w:line="240" w:lineRule="auto"/>
        <w:jc w:val="both"/>
        <w:rPr>
          <w:rFonts w:ascii="Garamond" w:hAnsi="Garamond"/>
          <w:b/>
          <w:bCs/>
          <w:sz w:val="22"/>
          <w:szCs w:val="22"/>
        </w:rPr>
      </w:pPr>
      <w:r w:rsidRPr="00D11C96">
        <w:rPr>
          <w:rFonts w:ascii="Garamond" w:hAnsi="Garamond"/>
          <w:b/>
          <w:bCs/>
          <w:sz w:val="22"/>
          <w:szCs w:val="22"/>
        </w:rPr>
        <w:t>Contribución por Valorización</w:t>
      </w:r>
    </w:p>
    <w:p w:rsidRPr="00D11C96" w:rsidR="009F1170" w:rsidP="009F1170" w:rsidRDefault="009F1170" w14:paraId="436630D6" w14:textId="77777777">
      <w:pPr>
        <w:spacing w:after="0" w:line="240" w:lineRule="auto"/>
        <w:jc w:val="both"/>
        <w:rPr>
          <w:rFonts w:ascii="Garamond" w:hAnsi="Garamond"/>
          <w:sz w:val="22"/>
          <w:szCs w:val="22"/>
        </w:rPr>
      </w:pPr>
    </w:p>
    <w:p w:rsidRPr="00D11C96" w:rsidR="00BC63FD" w:rsidP="00A1785B" w:rsidRDefault="00BC63FD" w14:paraId="57AEDC1E" w14:textId="1C33DBC3">
      <w:pPr>
        <w:jc w:val="both"/>
        <w:rPr>
          <w:rFonts w:ascii="Garamond" w:hAnsi="Garamond"/>
          <w:sz w:val="22"/>
          <w:szCs w:val="22"/>
        </w:rPr>
      </w:pPr>
      <w:r w:rsidRPr="00D11C96">
        <w:rPr>
          <w:rFonts w:ascii="Garamond" w:hAnsi="Garamond"/>
          <w:sz w:val="22"/>
          <w:szCs w:val="22"/>
        </w:rPr>
        <w:t xml:space="preserve">De acuerdo con el Ministerio de </w:t>
      </w:r>
      <w:r w:rsidRPr="00D11C96" w:rsidR="005E6B22">
        <w:rPr>
          <w:rFonts w:ascii="Garamond" w:hAnsi="Garamond"/>
          <w:sz w:val="22"/>
          <w:szCs w:val="22"/>
        </w:rPr>
        <w:t>Vivienda</w:t>
      </w:r>
      <w:r w:rsidRPr="00D11C96">
        <w:rPr>
          <w:rFonts w:ascii="Garamond" w:hAnsi="Garamond"/>
          <w:sz w:val="22"/>
          <w:szCs w:val="22"/>
        </w:rPr>
        <w:t xml:space="preserve"> (2025), e</w:t>
      </w:r>
      <w:r w:rsidRPr="00D11C96" w:rsidR="003B6974">
        <w:rPr>
          <w:rFonts w:ascii="Garamond" w:hAnsi="Garamond"/>
          <w:sz w:val="22"/>
          <w:szCs w:val="22"/>
        </w:rPr>
        <w:t xml:space="preserve">n Colombia la Ley 25 de 1921 creó el “impuesto” de valorización expidiéndose luego varias normas (ley 195 de 1936, ley 113 de 1937, ley 63 de 1938 y ley 1 de 1943) hasta el decreto legislativo 1604 de 1966 y su pertinente decreto reglamentario 1394 de 1970, estas dos últimas normas cambiaron el concepto de impuesto por contribución, además de otras modificaciones. </w:t>
      </w:r>
      <w:r w:rsidRPr="00D11C96">
        <w:rPr>
          <w:rFonts w:ascii="Garamond" w:hAnsi="Garamond"/>
          <w:sz w:val="22"/>
          <w:szCs w:val="22"/>
        </w:rPr>
        <w:t xml:space="preserve">Así mismo reglamentaron en cabeza de la respectiva entidad departamental, o municipal que </w:t>
      </w:r>
      <w:r w:rsidRPr="00D11C96" w:rsidR="00A818F7">
        <w:rPr>
          <w:rFonts w:ascii="Garamond" w:hAnsi="Garamond"/>
          <w:sz w:val="22"/>
          <w:szCs w:val="22"/>
        </w:rPr>
        <w:t>ejecutará</w:t>
      </w:r>
      <w:r w:rsidRPr="00D11C96">
        <w:rPr>
          <w:rFonts w:ascii="Garamond" w:hAnsi="Garamond"/>
          <w:sz w:val="22"/>
          <w:szCs w:val="22"/>
        </w:rPr>
        <w:t xml:space="preserve"> las obras</w:t>
      </w:r>
      <w:r w:rsidRPr="00D11C96" w:rsidR="00A818F7">
        <w:rPr>
          <w:rFonts w:ascii="Garamond" w:hAnsi="Garamond"/>
          <w:sz w:val="22"/>
          <w:szCs w:val="22"/>
        </w:rPr>
        <w:t xml:space="preserve"> (hecho generador)</w:t>
      </w:r>
      <w:r w:rsidRPr="00D11C96">
        <w:rPr>
          <w:rFonts w:ascii="Garamond" w:hAnsi="Garamond"/>
          <w:sz w:val="22"/>
          <w:szCs w:val="22"/>
        </w:rPr>
        <w:t xml:space="preserve"> y </w:t>
      </w:r>
      <w:r w:rsidRPr="00D11C96" w:rsidR="00A818F7">
        <w:rPr>
          <w:rFonts w:ascii="Garamond" w:hAnsi="Garamond"/>
          <w:sz w:val="22"/>
          <w:szCs w:val="22"/>
        </w:rPr>
        <w:t xml:space="preserve">que </w:t>
      </w:r>
      <w:r w:rsidRPr="00D11C96">
        <w:rPr>
          <w:rFonts w:ascii="Garamond" w:hAnsi="Garamond"/>
          <w:sz w:val="22"/>
          <w:szCs w:val="22"/>
        </w:rPr>
        <w:t xml:space="preserve">el ingreso </w:t>
      </w:r>
      <w:r w:rsidRPr="00D11C96" w:rsidR="00A818F7">
        <w:rPr>
          <w:rFonts w:ascii="Garamond" w:hAnsi="Garamond"/>
          <w:sz w:val="22"/>
          <w:szCs w:val="22"/>
        </w:rPr>
        <w:t xml:space="preserve">derivado del cobro de dicha contribución </w:t>
      </w:r>
      <w:r w:rsidRPr="00D11C96">
        <w:rPr>
          <w:rFonts w:ascii="Garamond" w:hAnsi="Garamond"/>
          <w:sz w:val="22"/>
          <w:szCs w:val="22"/>
        </w:rPr>
        <w:t>se invertirá en la construcción de ellas.</w:t>
      </w:r>
    </w:p>
    <w:p w:rsidRPr="00D11C96" w:rsidR="00A818F7" w:rsidP="00A1785B" w:rsidRDefault="00A818F7" w14:paraId="2BBD311C" w14:textId="7F3BB4DA">
      <w:pPr>
        <w:jc w:val="both"/>
        <w:rPr>
          <w:rFonts w:ascii="Garamond" w:hAnsi="Garamond"/>
          <w:sz w:val="22"/>
          <w:szCs w:val="22"/>
        </w:rPr>
      </w:pPr>
      <w:r w:rsidRPr="00D11C96">
        <w:rPr>
          <w:rFonts w:ascii="Garamond" w:hAnsi="Garamond"/>
          <w:sz w:val="22"/>
          <w:szCs w:val="22"/>
        </w:rPr>
        <w:t>Por lo tanto, en el marco del decreto 1604 de 1966, l</w:t>
      </w:r>
      <w:r w:rsidRPr="00D11C96" w:rsidR="003B6974">
        <w:rPr>
          <w:rFonts w:ascii="Garamond" w:hAnsi="Garamond"/>
          <w:sz w:val="22"/>
          <w:szCs w:val="22"/>
        </w:rPr>
        <w:t xml:space="preserve">a Valorización </w:t>
      </w:r>
      <w:r w:rsidRPr="00D11C96">
        <w:rPr>
          <w:rFonts w:ascii="Garamond" w:hAnsi="Garamond"/>
          <w:sz w:val="22"/>
          <w:szCs w:val="22"/>
        </w:rPr>
        <w:t>se configura como</w:t>
      </w:r>
      <w:r w:rsidRPr="00D11C96" w:rsidR="003B6974">
        <w:rPr>
          <w:rFonts w:ascii="Garamond" w:hAnsi="Garamond"/>
          <w:sz w:val="22"/>
          <w:szCs w:val="22"/>
        </w:rPr>
        <w:t xml:space="preserve"> una herramienta de financiación </w:t>
      </w:r>
      <w:r w:rsidRPr="00D11C96">
        <w:rPr>
          <w:rFonts w:ascii="Garamond" w:hAnsi="Garamond"/>
          <w:sz w:val="22"/>
          <w:szCs w:val="22"/>
        </w:rPr>
        <w:t>“</w:t>
      </w:r>
      <w:r w:rsidRPr="00D11C96" w:rsidR="003B6974">
        <w:rPr>
          <w:rFonts w:ascii="Garamond" w:hAnsi="Garamond"/>
          <w:sz w:val="22"/>
          <w:szCs w:val="22"/>
        </w:rPr>
        <w:t>que se constituye como un gravamen real sobre los bienes inmuebles, que es objeto de registro y está destinado a la construcción de una obra, plan o conjunto de obras de interés público que se impone a los propietarios o poseedores de aquellos bienes inmuebles que se benefician con la ejecución de las obras</w:t>
      </w:r>
      <w:r w:rsidRPr="00D11C96">
        <w:rPr>
          <w:rFonts w:ascii="Garamond" w:hAnsi="Garamond"/>
          <w:sz w:val="22"/>
          <w:szCs w:val="22"/>
        </w:rPr>
        <w:t xml:space="preserve">” (Ministerio de </w:t>
      </w:r>
      <w:r w:rsidRPr="00D11C96" w:rsidR="00A518A2">
        <w:rPr>
          <w:rFonts w:ascii="Garamond" w:hAnsi="Garamond"/>
          <w:sz w:val="22"/>
          <w:szCs w:val="22"/>
        </w:rPr>
        <w:t>Vivienda</w:t>
      </w:r>
      <w:r w:rsidRPr="00D11C96">
        <w:rPr>
          <w:rFonts w:ascii="Garamond" w:hAnsi="Garamond"/>
          <w:sz w:val="22"/>
          <w:szCs w:val="22"/>
        </w:rPr>
        <w:t>, 2025).</w:t>
      </w:r>
    </w:p>
    <w:p w:rsidRPr="00D11C96" w:rsidR="003B6974" w:rsidP="00A1785B" w:rsidRDefault="003B6974" w14:paraId="667DBE4E" w14:textId="3B1D7350">
      <w:pPr>
        <w:jc w:val="both"/>
        <w:rPr>
          <w:rFonts w:ascii="Garamond" w:hAnsi="Garamond"/>
          <w:sz w:val="22"/>
          <w:szCs w:val="22"/>
        </w:rPr>
      </w:pPr>
      <w:r w:rsidRPr="00D11C96">
        <w:rPr>
          <w:rFonts w:ascii="Garamond" w:hAnsi="Garamond"/>
          <w:sz w:val="22"/>
          <w:szCs w:val="22"/>
        </w:rPr>
        <w:t>El valor de la contribución depende del costo de la obra, que se distribuye entre los predios afectados en proporción al grado de beneficio</w:t>
      </w:r>
      <w:r w:rsidRPr="00D11C96" w:rsidR="00A818F7">
        <w:rPr>
          <w:rFonts w:ascii="Garamond" w:hAnsi="Garamond"/>
          <w:sz w:val="22"/>
          <w:szCs w:val="22"/>
        </w:rPr>
        <w:t xml:space="preserve">, por lo </w:t>
      </w:r>
      <w:r w:rsidRPr="00D11C96" w:rsidR="00CA0E5C">
        <w:rPr>
          <w:rFonts w:ascii="Garamond" w:hAnsi="Garamond"/>
          <w:sz w:val="22"/>
          <w:szCs w:val="22"/>
        </w:rPr>
        <w:t>que,</w:t>
      </w:r>
      <w:r w:rsidRPr="00D11C96" w:rsidR="00A818F7">
        <w:rPr>
          <w:rFonts w:ascii="Garamond" w:hAnsi="Garamond"/>
          <w:sz w:val="22"/>
          <w:szCs w:val="22"/>
        </w:rPr>
        <w:t xml:space="preserve"> al no contar con una periodicidad, ni aplicarse a todas las personas, no se constituye como un impuesto y siempre se destinará para la ejecución de las obras que utilizaran para su financiación esta herramienta.</w:t>
      </w:r>
    </w:p>
    <w:p w:rsidRPr="00D11C96" w:rsidR="00A818F7" w:rsidP="00A1785B" w:rsidRDefault="00A818F7" w14:paraId="4B73B7D0" w14:textId="3CFF283B">
      <w:pPr>
        <w:jc w:val="both"/>
        <w:rPr>
          <w:rFonts w:ascii="Garamond" w:hAnsi="Garamond"/>
          <w:sz w:val="22"/>
          <w:szCs w:val="22"/>
        </w:rPr>
      </w:pPr>
      <w:r w:rsidRPr="00D11C96">
        <w:rPr>
          <w:rFonts w:ascii="Garamond" w:hAnsi="Garamond"/>
          <w:sz w:val="22"/>
          <w:szCs w:val="22"/>
        </w:rPr>
        <w:t xml:space="preserve">De acuerdo con lo anterior, dado que la propuesta de resolución de las Directrices para el Ordenamiento Ambiental de la Sabana de Bogotá no establece la construcción de obras </w:t>
      </w:r>
      <w:r w:rsidRPr="00D11C96" w:rsidR="00A23565">
        <w:rPr>
          <w:rFonts w:ascii="Garamond" w:hAnsi="Garamond"/>
          <w:sz w:val="22"/>
          <w:szCs w:val="22"/>
        </w:rPr>
        <w:t xml:space="preserve">de interés público </w:t>
      </w:r>
      <w:r w:rsidRPr="00D11C96">
        <w:rPr>
          <w:rFonts w:ascii="Garamond" w:hAnsi="Garamond"/>
          <w:sz w:val="22"/>
          <w:szCs w:val="22"/>
        </w:rPr>
        <w:t>sobre la Sabana de Bogotá, tampoco implica un impacto sobre este tipo de contribución para los entes territoriales ni entidades de nivel municipal o departamental.</w:t>
      </w:r>
    </w:p>
    <w:p w:rsidRPr="00D11C96" w:rsidR="00CA0E5C" w:rsidP="00A1785B" w:rsidRDefault="00CA0E5C" w14:paraId="14CF1D52" w14:textId="73290D93">
      <w:pPr>
        <w:jc w:val="both"/>
        <w:rPr>
          <w:rFonts w:ascii="Garamond" w:hAnsi="Garamond"/>
          <w:b/>
          <w:bCs/>
          <w:sz w:val="22"/>
          <w:szCs w:val="22"/>
        </w:rPr>
      </w:pPr>
      <w:r w:rsidRPr="00D11C96">
        <w:rPr>
          <w:rFonts w:ascii="Garamond" w:hAnsi="Garamond"/>
          <w:b/>
          <w:bCs/>
          <w:sz w:val="22"/>
          <w:szCs w:val="22"/>
        </w:rPr>
        <w:t>Plusvalía</w:t>
      </w:r>
    </w:p>
    <w:p w:rsidRPr="00D11C96" w:rsidR="00A818F7" w:rsidP="00FF796F" w:rsidRDefault="00FF796F" w14:paraId="1F14979A" w14:textId="3C53BA72">
      <w:pPr>
        <w:jc w:val="both"/>
        <w:rPr>
          <w:rFonts w:ascii="Garamond" w:hAnsi="Garamond"/>
          <w:sz w:val="22"/>
          <w:szCs w:val="22"/>
        </w:rPr>
      </w:pPr>
      <w:r w:rsidRPr="00D11C96">
        <w:rPr>
          <w:rFonts w:ascii="Garamond" w:hAnsi="Garamond"/>
          <w:sz w:val="22"/>
          <w:szCs w:val="22"/>
        </w:rPr>
        <w:t>De conformidad con lo dispuesto en la Ley 388 de 1997, particularmente en su artículo 73 y la guía para la implementación de la participación de plusvalía del Ministerio de Vivienda, Ciudad y Territorio, la participación en plusvalía puede entenderse como el derecho que tienen las entidades públicas a participar en el plusvalor del suelo, que se genera por acciones urbanísticas que determinen un uso más rentable del suelo y del espacio aéreo urbano. Esta participación se destinará a la defensa y al fomento del interés común, a través de acciones y operaciones encaminadas a distribuir y sufragar equitativamente los costos del desarrollo urbano, así como al mejoramiento del espacio público, y, en general, de la calidad urbanística del territorio municipal o distrital.</w:t>
      </w:r>
    </w:p>
    <w:p w:rsidRPr="00D11C96" w:rsidR="00FF796F" w:rsidP="00A1785B" w:rsidRDefault="00FF796F" w14:paraId="60EB6407" w14:textId="77777777">
      <w:pPr>
        <w:jc w:val="both"/>
        <w:rPr>
          <w:rFonts w:ascii="Garamond" w:hAnsi="Garamond"/>
          <w:sz w:val="22"/>
          <w:szCs w:val="22"/>
        </w:rPr>
      </w:pPr>
      <w:r w:rsidRPr="00D11C96">
        <w:rPr>
          <w:rFonts w:ascii="Garamond" w:hAnsi="Garamond"/>
          <w:sz w:val="22"/>
          <w:szCs w:val="22"/>
        </w:rPr>
        <w:t xml:space="preserve">Puntualmente, señala como hechos generadores los siguientes: </w:t>
      </w:r>
    </w:p>
    <w:p w:rsidRPr="00D11C96" w:rsidR="00FF796F" w:rsidP="00FF796F" w:rsidRDefault="00FF796F" w14:paraId="7CD64476" w14:textId="509A8E59">
      <w:pPr>
        <w:pStyle w:val="ListParagraph"/>
        <w:numPr>
          <w:ilvl w:val="0"/>
          <w:numId w:val="14"/>
        </w:numPr>
        <w:jc w:val="both"/>
        <w:rPr>
          <w:rFonts w:ascii="Garamond" w:hAnsi="Garamond"/>
          <w:sz w:val="22"/>
          <w:szCs w:val="22"/>
        </w:rPr>
      </w:pPr>
      <w:r w:rsidRPr="00D11C96">
        <w:rPr>
          <w:rFonts w:ascii="Garamond" w:hAnsi="Garamond"/>
          <w:sz w:val="22"/>
          <w:szCs w:val="22"/>
        </w:rPr>
        <w:t>La incorporación de suelo rural a suelo de expansión urbana o la consideración de parte del suelo rural como suburbano.</w:t>
      </w:r>
      <w:r w:rsidRPr="00D11C96">
        <w:rPr>
          <w:rFonts w:ascii="Times New Roman" w:hAnsi="Times New Roman" w:cs="Times New Roman"/>
          <w:sz w:val="22"/>
          <w:szCs w:val="22"/>
        </w:rPr>
        <w:t> </w:t>
      </w:r>
      <w:r w:rsidRPr="00D11C96">
        <w:rPr>
          <w:rFonts w:ascii="Garamond" w:hAnsi="Garamond"/>
          <w:sz w:val="22"/>
          <w:szCs w:val="22"/>
        </w:rPr>
        <w:t xml:space="preserve"> </w:t>
      </w:r>
    </w:p>
    <w:p w:rsidRPr="00D11C96" w:rsidR="00FF796F" w:rsidP="00FF796F" w:rsidRDefault="00FF796F" w14:paraId="7325C0B7" w14:textId="37AAE74C">
      <w:pPr>
        <w:pStyle w:val="ListParagraph"/>
        <w:numPr>
          <w:ilvl w:val="0"/>
          <w:numId w:val="14"/>
        </w:numPr>
        <w:jc w:val="both"/>
        <w:rPr>
          <w:rFonts w:ascii="Garamond" w:hAnsi="Garamond"/>
          <w:sz w:val="22"/>
          <w:szCs w:val="22"/>
        </w:rPr>
      </w:pPr>
      <w:r w:rsidRPr="00D11C96">
        <w:rPr>
          <w:rFonts w:ascii="Garamond" w:hAnsi="Garamond"/>
          <w:sz w:val="22"/>
          <w:szCs w:val="22"/>
        </w:rPr>
        <w:t>El establecimiento o modificaci</w:t>
      </w:r>
      <w:r w:rsidRPr="00D11C96">
        <w:rPr>
          <w:rFonts w:ascii="Garamond" w:hAnsi="Garamond" w:cs="Garamond"/>
          <w:sz w:val="22"/>
          <w:szCs w:val="22"/>
        </w:rPr>
        <w:t>ó</w:t>
      </w:r>
      <w:r w:rsidRPr="00D11C96">
        <w:rPr>
          <w:rFonts w:ascii="Garamond" w:hAnsi="Garamond"/>
          <w:sz w:val="22"/>
          <w:szCs w:val="22"/>
        </w:rPr>
        <w:t>n del r</w:t>
      </w:r>
      <w:r w:rsidRPr="00D11C96">
        <w:rPr>
          <w:rFonts w:ascii="Garamond" w:hAnsi="Garamond" w:cs="Garamond"/>
          <w:sz w:val="22"/>
          <w:szCs w:val="22"/>
        </w:rPr>
        <w:t>é</w:t>
      </w:r>
      <w:r w:rsidRPr="00D11C96">
        <w:rPr>
          <w:rFonts w:ascii="Garamond" w:hAnsi="Garamond"/>
          <w:sz w:val="22"/>
          <w:szCs w:val="22"/>
        </w:rPr>
        <w:t>gimen o la zonificaci</w:t>
      </w:r>
      <w:r w:rsidRPr="00D11C96">
        <w:rPr>
          <w:rFonts w:ascii="Garamond" w:hAnsi="Garamond" w:cs="Garamond"/>
          <w:sz w:val="22"/>
          <w:szCs w:val="22"/>
        </w:rPr>
        <w:t>ó</w:t>
      </w:r>
      <w:r w:rsidRPr="00D11C96">
        <w:rPr>
          <w:rFonts w:ascii="Garamond" w:hAnsi="Garamond"/>
          <w:sz w:val="22"/>
          <w:szCs w:val="22"/>
        </w:rPr>
        <w:t>n de usos del suelo.</w:t>
      </w:r>
      <w:r w:rsidRPr="00D11C96">
        <w:rPr>
          <w:rFonts w:ascii="Times New Roman" w:hAnsi="Times New Roman" w:cs="Times New Roman"/>
          <w:sz w:val="22"/>
          <w:szCs w:val="22"/>
        </w:rPr>
        <w:t> </w:t>
      </w:r>
      <w:r w:rsidRPr="00D11C96">
        <w:rPr>
          <w:rFonts w:ascii="Garamond" w:hAnsi="Garamond"/>
          <w:sz w:val="22"/>
          <w:szCs w:val="22"/>
        </w:rPr>
        <w:t xml:space="preserve"> </w:t>
      </w:r>
    </w:p>
    <w:p w:rsidRPr="00D11C96" w:rsidR="00FF796F" w:rsidP="00FF796F" w:rsidRDefault="00FF796F" w14:paraId="28723B83" w14:textId="0A822270">
      <w:pPr>
        <w:pStyle w:val="ListParagraph"/>
        <w:numPr>
          <w:ilvl w:val="0"/>
          <w:numId w:val="14"/>
        </w:numPr>
        <w:jc w:val="both"/>
        <w:rPr>
          <w:rFonts w:ascii="Garamond" w:hAnsi="Garamond"/>
          <w:sz w:val="22"/>
          <w:szCs w:val="22"/>
        </w:rPr>
      </w:pPr>
      <w:r w:rsidRPr="00D11C96">
        <w:rPr>
          <w:rFonts w:ascii="Garamond" w:hAnsi="Garamond"/>
          <w:sz w:val="22"/>
          <w:szCs w:val="22"/>
        </w:rPr>
        <w:t>La autorizaci</w:t>
      </w:r>
      <w:r w:rsidRPr="00D11C96">
        <w:rPr>
          <w:rFonts w:ascii="Garamond" w:hAnsi="Garamond" w:cs="Garamond"/>
          <w:sz w:val="22"/>
          <w:szCs w:val="22"/>
        </w:rPr>
        <w:t>ó</w:t>
      </w:r>
      <w:r w:rsidRPr="00D11C96">
        <w:rPr>
          <w:rFonts w:ascii="Garamond" w:hAnsi="Garamond"/>
          <w:sz w:val="22"/>
          <w:szCs w:val="22"/>
        </w:rPr>
        <w:t>n de un mayor aprovechamiento del suelo en edificaci</w:t>
      </w:r>
      <w:r w:rsidRPr="00D11C96">
        <w:rPr>
          <w:rFonts w:ascii="Garamond" w:hAnsi="Garamond" w:cs="Garamond"/>
          <w:sz w:val="22"/>
          <w:szCs w:val="22"/>
        </w:rPr>
        <w:t>ó</w:t>
      </w:r>
      <w:r w:rsidRPr="00D11C96">
        <w:rPr>
          <w:rFonts w:ascii="Garamond" w:hAnsi="Garamond"/>
          <w:sz w:val="22"/>
          <w:szCs w:val="22"/>
        </w:rPr>
        <w:t xml:space="preserve">n bien sea elevando el </w:t>
      </w:r>
      <w:r w:rsidRPr="00D11C96">
        <w:rPr>
          <w:rFonts w:ascii="Garamond" w:hAnsi="Garamond" w:cs="Garamond"/>
          <w:sz w:val="22"/>
          <w:szCs w:val="22"/>
        </w:rPr>
        <w:t>í</w:t>
      </w:r>
      <w:r w:rsidRPr="00D11C96">
        <w:rPr>
          <w:rFonts w:ascii="Garamond" w:hAnsi="Garamond"/>
          <w:sz w:val="22"/>
          <w:szCs w:val="22"/>
        </w:rPr>
        <w:t>ndice de ocupaci</w:t>
      </w:r>
      <w:r w:rsidRPr="00D11C96">
        <w:rPr>
          <w:rFonts w:ascii="Garamond" w:hAnsi="Garamond" w:cs="Garamond"/>
          <w:sz w:val="22"/>
          <w:szCs w:val="22"/>
        </w:rPr>
        <w:t>ó</w:t>
      </w:r>
      <w:r w:rsidRPr="00D11C96">
        <w:rPr>
          <w:rFonts w:ascii="Garamond" w:hAnsi="Garamond"/>
          <w:sz w:val="22"/>
          <w:szCs w:val="22"/>
        </w:rPr>
        <w:t xml:space="preserve">n o el </w:t>
      </w:r>
      <w:r w:rsidRPr="00D11C96">
        <w:rPr>
          <w:rFonts w:ascii="Garamond" w:hAnsi="Garamond" w:cs="Garamond"/>
          <w:sz w:val="22"/>
          <w:szCs w:val="22"/>
        </w:rPr>
        <w:t>í</w:t>
      </w:r>
      <w:r w:rsidRPr="00D11C96">
        <w:rPr>
          <w:rFonts w:ascii="Garamond" w:hAnsi="Garamond"/>
          <w:sz w:val="22"/>
          <w:szCs w:val="22"/>
        </w:rPr>
        <w:t>ndice de construcci</w:t>
      </w:r>
      <w:r w:rsidRPr="00D11C96">
        <w:rPr>
          <w:rFonts w:ascii="Garamond" w:hAnsi="Garamond" w:cs="Garamond"/>
          <w:sz w:val="22"/>
          <w:szCs w:val="22"/>
        </w:rPr>
        <w:t>ó</w:t>
      </w:r>
      <w:r w:rsidRPr="00D11C96">
        <w:rPr>
          <w:rFonts w:ascii="Garamond" w:hAnsi="Garamond"/>
          <w:sz w:val="22"/>
          <w:szCs w:val="22"/>
        </w:rPr>
        <w:t>n, o ambos a la vez.</w:t>
      </w:r>
    </w:p>
    <w:p w:rsidRPr="00D11C96" w:rsidR="00FF796F" w:rsidP="00A1785B" w:rsidRDefault="00FF796F" w14:paraId="55B2F3AA" w14:textId="77777777">
      <w:pPr>
        <w:jc w:val="both"/>
        <w:rPr>
          <w:rFonts w:ascii="Garamond" w:hAnsi="Garamond"/>
          <w:sz w:val="22"/>
          <w:szCs w:val="22"/>
        </w:rPr>
      </w:pPr>
      <w:r w:rsidRPr="00D11C96">
        <w:rPr>
          <w:rFonts w:ascii="Garamond" w:hAnsi="Garamond"/>
          <w:sz w:val="22"/>
          <w:szCs w:val="22"/>
        </w:rPr>
        <w:t>La Ley 388 de 1997 y el Decreto Ley 019 de 2012 se han referido al particular, señalando que la participación en la plusvalía sólo será exigible en el momento en que se presente para el propietario o poseedor del inmueble, respecto del cual se haya declarado un efecto de plusvalía en cualquiera de las siguientes situaciones:</w:t>
      </w:r>
      <w:r w:rsidRPr="00D11C96">
        <w:rPr>
          <w:rFonts w:ascii="Times New Roman" w:hAnsi="Times New Roman" w:cs="Times New Roman"/>
          <w:sz w:val="22"/>
          <w:szCs w:val="22"/>
        </w:rPr>
        <w:t> </w:t>
      </w:r>
      <w:r w:rsidRPr="00D11C96">
        <w:rPr>
          <w:rFonts w:ascii="Garamond" w:hAnsi="Garamond"/>
          <w:sz w:val="22"/>
          <w:szCs w:val="22"/>
        </w:rPr>
        <w:t xml:space="preserve"> </w:t>
      </w:r>
    </w:p>
    <w:p w:rsidRPr="00D11C96" w:rsidR="00FF796F" w:rsidP="00FF796F" w:rsidRDefault="00FF796F" w14:paraId="5BA2F8C1" w14:textId="720E7E3A">
      <w:pPr>
        <w:pStyle w:val="ListParagraph"/>
        <w:numPr>
          <w:ilvl w:val="0"/>
          <w:numId w:val="13"/>
        </w:numPr>
        <w:jc w:val="both"/>
        <w:rPr>
          <w:rFonts w:ascii="Garamond" w:hAnsi="Garamond"/>
          <w:sz w:val="22"/>
          <w:szCs w:val="22"/>
        </w:rPr>
      </w:pPr>
      <w:r w:rsidRPr="00D11C96">
        <w:rPr>
          <w:rFonts w:ascii="Garamond" w:hAnsi="Garamond"/>
          <w:sz w:val="22"/>
          <w:szCs w:val="22"/>
        </w:rPr>
        <w:t>Solicitud de licencia de urbanizaci</w:t>
      </w:r>
      <w:r w:rsidRPr="00D11C96">
        <w:rPr>
          <w:rFonts w:ascii="Garamond" w:hAnsi="Garamond" w:cs="Garamond"/>
          <w:sz w:val="22"/>
          <w:szCs w:val="22"/>
        </w:rPr>
        <w:t>ó</w:t>
      </w:r>
      <w:r w:rsidRPr="00D11C96">
        <w:rPr>
          <w:rFonts w:ascii="Garamond" w:hAnsi="Garamond"/>
          <w:sz w:val="22"/>
          <w:szCs w:val="22"/>
        </w:rPr>
        <w:t>n o construcci</w:t>
      </w:r>
      <w:r w:rsidRPr="00D11C96">
        <w:rPr>
          <w:rFonts w:ascii="Garamond" w:hAnsi="Garamond" w:cs="Garamond"/>
          <w:sz w:val="22"/>
          <w:szCs w:val="22"/>
        </w:rPr>
        <w:t>ó</w:t>
      </w:r>
      <w:r w:rsidRPr="00D11C96">
        <w:rPr>
          <w:rFonts w:ascii="Garamond" w:hAnsi="Garamond"/>
          <w:sz w:val="22"/>
          <w:szCs w:val="22"/>
        </w:rPr>
        <w:t>n, aplicable para el cobro de la participaci</w:t>
      </w:r>
      <w:r w:rsidRPr="00D11C96">
        <w:rPr>
          <w:rFonts w:ascii="Garamond" w:hAnsi="Garamond" w:cs="Garamond"/>
          <w:sz w:val="22"/>
          <w:szCs w:val="22"/>
        </w:rPr>
        <w:t>ó</w:t>
      </w:r>
      <w:r w:rsidRPr="00D11C96">
        <w:rPr>
          <w:rFonts w:ascii="Garamond" w:hAnsi="Garamond"/>
          <w:sz w:val="22"/>
          <w:szCs w:val="22"/>
        </w:rPr>
        <w:t>n en la plusval</w:t>
      </w:r>
      <w:r w:rsidRPr="00D11C96">
        <w:rPr>
          <w:rFonts w:ascii="Garamond" w:hAnsi="Garamond" w:cs="Garamond"/>
          <w:sz w:val="22"/>
          <w:szCs w:val="22"/>
        </w:rPr>
        <w:t>í</w:t>
      </w:r>
      <w:r w:rsidRPr="00D11C96">
        <w:rPr>
          <w:rFonts w:ascii="Garamond" w:hAnsi="Garamond"/>
          <w:sz w:val="22"/>
          <w:szCs w:val="22"/>
        </w:rPr>
        <w:t>a generada por cualquiera de los hechos generadores de que trata el artículo 74 de esta</w:t>
      </w:r>
      <w:r w:rsidRPr="00D11C96">
        <w:rPr>
          <w:rFonts w:ascii="Times New Roman" w:hAnsi="Times New Roman" w:cs="Times New Roman"/>
          <w:sz w:val="22"/>
          <w:szCs w:val="22"/>
        </w:rPr>
        <w:t> </w:t>
      </w:r>
      <w:r w:rsidRPr="00D11C96">
        <w:rPr>
          <w:rFonts w:ascii="Garamond" w:hAnsi="Garamond"/>
          <w:sz w:val="22"/>
          <w:szCs w:val="22"/>
        </w:rPr>
        <w:t>ley.</w:t>
      </w:r>
      <w:r w:rsidRPr="00D11C96">
        <w:rPr>
          <w:rFonts w:ascii="Times New Roman" w:hAnsi="Times New Roman" w:cs="Times New Roman"/>
          <w:sz w:val="22"/>
          <w:szCs w:val="22"/>
        </w:rPr>
        <w:t> </w:t>
      </w:r>
      <w:r w:rsidRPr="00D11C96">
        <w:rPr>
          <w:rFonts w:ascii="Garamond" w:hAnsi="Garamond"/>
          <w:sz w:val="22"/>
          <w:szCs w:val="22"/>
        </w:rPr>
        <w:t xml:space="preserve"> </w:t>
      </w:r>
    </w:p>
    <w:p w:rsidRPr="00D11C96" w:rsidR="00FF796F" w:rsidP="00FF796F" w:rsidRDefault="00FF796F" w14:paraId="79EA9CD3" w14:textId="0C24A291">
      <w:pPr>
        <w:pStyle w:val="ListParagraph"/>
        <w:numPr>
          <w:ilvl w:val="0"/>
          <w:numId w:val="13"/>
        </w:numPr>
        <w:jc w:val="both"/>
        <w:rPr>
          <w:rFonts w:ascii="Garamond" w:hAnsi="Garamond"/>
          <w:sz w:val="22"/>
          <w:szCs w:val="22"/>
        </w:rPr>
      </w:pPr>
      <w:r w:rsidRPr="00D11C96">
        <w:rPr>
          <w:rFonts w:ascii="Garamond" w:hAnsi="Garamond"/>
          <w:sz w:val="22"/>
          <w:szCs w:val="22"/>
        </w:rPr>
        <w:t>Cambio efectivo de uso del inmueble, aplicable para el cobro de la participaci</w:t>
      </w:r>
      <w:r w:rsidRPr="00D11C96">
        <w:rPr>
          <w:rFonts w:ascii="Garamond" w:hAnsi="Garamond" w:cs="Garamond"/>
          <w:sz w:val="22"/>
          <w:szCs w:val="22"/>
        </w:rPr>
        <w:t>ó</w:t>
      </w:r>
      <w:r w:rsidRPr="00D11C96">
        <w:rPr>
          <w:rFonts w:ascii="Garamond" w:hAnsi="Garamond"/>
          <w:sz w:val="22"/>
          <w:szCs w:val="22"/>
        </w:rPr>
        <w:t>n en la plusval</w:t>
      </w:r>
      <w:r w:rsidRPr="00D11C96">
        <w:rPr>
          <w:rFonts w:ascii="Garamond" w:hAnsi="Garamond" w:cs="Garamond"/>
          <w:sz w:val="22"/>
          <w:szCs w:val="22"/>
        </w:rPr>
        <w:t>í</w:t>
      </w:r>
      <w:r w:rsidRPr="00D11C96">
        <w:rPr>
          <w:rFonts w:ascii="Garamond" w:hAnsi="Garamond"/>
          <w:sz w:val="22"/>
          <w:szCs w:val="22"/>
        </w:rPr>
        <w:t>a generada por la modificaci</w:t>
      </w:r>
      <w:r w:rsidRPr="00D11C96">
        <w:rPr>
          <w:rFonts w:ascii="Garamond" w:hAnsi="Garamond" w:cs="Garamond"/>
          <w:sz w:val="22"/>
          <w:szCs w:val="22"/>
        </w:rPr>
        <w:t>ó</w:t>
      </w:r>
      <w:r w:rsidRPr="00D11C96">
        <w:rPr>
          <w:rFonts w:ascii="Garamond" w:hAnsi="Garamond"/>
          <w:sz w:val="22"/>
          <w:szCs w:val="22"/>
        </w:rPr>
        <w:t>n del r</w:t>
      </w:r>
      <w:r w:rsidRPr="00D11C96">
        <w:rPr>
          <w:rFonts w:ascii="Garamond" w:hAnsi="Garamond" w:cs="Garamond"/>
          <w:sz w:val="22"/>
          <w:szCs w:val="22"/>
        </w:rPr>
        <w:t>é</w:t>
      </w:r>
      <w:r w:rsidRPr="00D11C96">
        <w:rPr>
          <w:rFonts w:ascii="Garamond" w:hAnsi="Garamond"/>
          <w:sz w:val="22"/>
          <w:szCs w:val="22"/>
        </w:rPr>
        <w:t>gimen o zonificaci</w:t>
      </w:r>
      <w:r w:rsidRPr="00D11C96">
        <w:rPr>
          <w:rFonts w:ascii="Garamond" w:hAnsi="Garamond" w:cs="Garamond"/>
          <w:sz w:val="22"/>
          <w:szCs w:val="22"/>
        </w:rPr>
        <w:t>ó</w:t>
      </w:r>
      <w:r w:rsidRPr="00D11C96">
        <w:rPr>
          <w:rFonts w:ascii="Garamond" w:hAnsi="Garamond"/>
          <w:sz w:val="22"/>
          <w:szCs w:val="22"/>
        </w:rPr>
        <w:t>n del suelo.</w:t>
      </w:r>
      <w:r w:rsidRPr="00D11C96">
        <w:rPr>
          <w:rFonts w:ascii="Times New Roman" w:hAnsi="Times New Roman" w:cs="Times New Roman"/>
          <w:sz w:val="22"/>
          <w:szCs w:val="22"/>
        </w:rPr>
        <w:t> </w:t>
      </w:r>
      <w:r w:rsidRPr="00D11C96">
        <w:rPr>
          <w:rFonts w:ascii="Garamond" w:hAnsi="Garamond"/>
          <w:sz w:val="22"/>
          <w:szCs w:val="22"/>
        </w:rPr>
        <w:t xml:space="preserve"> </w:t>
      </w:r>
    </w:p>
    <w:p w:rsidRPr="00D11C96" w:rsidR="00CA0E5C" w:rsidP="00FF796F" w:rsidRDefault="00FF796F" w14:paraId="00AACE0B" w14:textId="274D1B9C">
      <w:pPr>
        <w:pStyle w:val="ListParagraph"/>
        <w:numPr>
          <w:ilvl w:val="0"/>
          <w:numId w:val="13"/>
        </w:numPr>
        <w:jc w:val="both"/>
        <w:rPr>
          <w:rFonts w:ascii="Garamond" w:hAnsi="Garamond"/>
          <w:sz w:val="22"/>
          <w:szCs w:val="22"/>
        </w:rPr>
      </w:pPr>
      <w:r w:rsidRPr="00D11C96">
        <w:rPr>
          <w:rFonts w:ascii="Garamond" w:hAnsi="Garamond"/>
          <w:sz w:val="22"/>
          <w:szCs w:val="22"/>
        </w:rPr>
        <w:t>Actos que impliquen transferencia del dominio sobre el inmueble, aplicable al cobro de la participaci</w:t>
      </w:r>
      <w:r w:rsidRPr="00D11C96">
        <w:rPr>
          <w:rFonts w:ascii="Garamond" w:hAnsi="Garamond" w:cs="Garamond"/>
          <w:sz w:val="22"/>
          <w:szCs w:val="22"/>
        </w:rPr>
        <w:t>ó</w:t>
      </w:r>
      <w:r w:rsidRPr="00D11C96">
        <w:rPr>
          <w:rFonts w:ascii="Garamond" w:hAnsi="Garamond"/>
          <w:sz w:val="22"/>
          <w:szCs w:val="22"/>
        </w:rPr>
        <w:t>n en la plusval</w:t>
      </w:r>
      <w:r w:rsidRPr="00D11C96">
        <w:rPr>
          <w:rFonts w:ascii="Garamond" w:hAnsi="Garamond" w:cs="Garamond"/>
          <w:sz w:val="22"/>
          <w:szCs w:val="22"/>
        </w:rPr>
        <w:t>í</w:t>
      </w:r>
      <w:r w:rsidRPr="00D11C96">
        <w:rPr>
          <w:rFonts w:ascii="Garamond" w:hAnsi="Garamond"/>
          <w:sz w:val="22"/>
          <w:szCs w:val="22"/>
        </w:rPr>
        <w:t>a de que tratan los numerales 1</w:t>
      </w:r>
      <w:r w:rsidRPr="00D11C96">
        <w:rPr>
          <w:rFonts w:ascii="Garamond" w:hAnsi="Garamond" w:cs="Garamond"/>
          <w:sz w:val="22"/>
          <w:szCs w:val="22"/>
        </w:rPr>
        <w:t>º</w:t>
      </w:r>
      <w:r w:rsidRPr="00D11C96">
        <w:rPr>
          <w:rFonts w:ascii="Garamond" w:hAnsi="Garamond"/>
          <w:sz w:val="22"/>
          <w:szCs w:val="22"/>
        </w:rPr>
        <w:t xml:space="preserve"> y 3</w:t>
      </w:r>
      <w:r w:rsidRPr="00D11C96">
        <w:rPr>
          <w:rFonts w:ascii="Garamond" w:hAnsi="Garamond" w:cs="Garamond"/>
          <w:sz w:val="22"/>
          <w:szCs w:val="22"/>
        </w:rPr>
        <w:t>º</w:t>
      </w:r>
      <w:r w:rsidRPr="00D11C96">
        <w:rPr>
          <w:rFonts w:ascii="Garamond" w:hAnsi="Garamond"/>
          <w:sz w:val="22"/>
          <w:szCs w:val="22"/>
        </w:rPr>
        <w:t xml:space="preserve"> del art</w:t>
      </w:r>
      <w:r w:rsidRPr="00D11C96">
        <w:rPr>
          <w:rFonts w:ascii="Garamond" w:hAnsi="Garamond" w:cs="Garamond"/>
          <w:sz w:val="22"/>
          <w:szCs w:val="22"/>
        </w:rPr>
        <w:t>í</w:t>
      </w:r>
      <w:r w:rsidRPr="00D11C96">
        <w:rPr>
          <w:rFonts w:ascii="Garamond" w:hAnsi="Garamond"/>
          <w:sz w:val="22"/>
          <w:szCs w:val="22"/>
        </w:rPr>
        <w:t>culo 74.</w:t>
      </w:r>
    </w:p>
    <w:p w:rsidRPr="00D11C96" w:rsidR="00FF796F" w:rsidP="00FF796F" w:rsidRDefault="00FF796F" w14:paraId="6BF84826" w14:textId="7ACC11E4">
      <w:pPr>
        <w:pStyle w:val="ListParagraph"/>
        <w:numPr>
          <w:ilvl w:val="0"/>
          <w:numId w:val="13"/>
        </w:numPr>
        <w:jc w:val="both"/>
        <w:rPr>
          <w:rFonts w:ascii="Garamond" w:hAnsi="Garamond"/>
          <w:sz w:val="22"/>
          <w:szCs w:val="22"/>
        </w:rPr>
      </w:pPr>
      <w:r w:rsidRPr="00D11C96">
        <w:rPr>
          <w:rFonts w:ascii="Garamond" w:hAnsi="Garamond"/>
          <w:sz w:val="22"/>
          <w:szCs w:val="22"/>
        </w:rPr>
        <w:t>Mediante la adquisición de títulos valores representativos de los derechos adicionales de construcción y desarrollo, en los términos que se establece en el artículo 88 y siguientes de la presente</w:t>
      </w:r>
      <w:r w:rsidRPr="00D11C96">
        <w:rPr>
          <w:rFonts w:ascii="Times New Roman" w:hAnsi="Times New Roman" w:cs="Times New Roman"/>
          <w:sz w:val="22"/>
          <w:szCs w:val="22"/>
        </w:rPr>
        <w:t> </w:t>
      </w:r>
      <w:r w:rsidRPr="00D11C96">
        <w:rPr>
          <w:rFonts w:ascii="Garamond" w:hAnsi="Garamond"/>
          <w:sz w:val="22"/>
          <w:szCs w:val="22"/>
        </w:rPr>
        <w:t>ley.</w:t>
      </w:r>
    </w:p>
    <w:p w:rsidRPr="00D11C96" w:rsidR="00352E76" w:rsidP="00A1785B" w:rsidRDefault="00D76ED7" w14:paraId="01A724D7" w14:textId="6703D1CF">
      <w:pPr>
        <w:jc w:val="both"/>
        <w:rPr>
          <w:rFonts w:ascii="Garamond" w:hAnsi="Garamond"/>
          <w:sz w:val="22"/>
          <w:szCs w:val="22"/>
        </w:rPr>
      </w:pPr>
      <w:r w:rsidRPr="00D11C96">
        <w:rPr>
          <w:rFonts w:ascii="Garamond" w:hAnsi="Garamond"/>
          <w:sz w:val="22"/>
          <w:szCs w:val="22"/>
        </w:rPr>
        <w:t>Dado que la propuesta de resolución de las Directrices para el Ordenamiento Ambiental de la Sabana de Bogotá no incorpora suelo rural a suelo de expansión urbana ni lo define como suburbano, que no modifica, establece o zonifica usos del suelo, ni establece un incremento de los índices de ocupación ni construcción en los municipios y teniendo en cuenta que los anteriores hechos generadores son competencia de los entes municipales, no se impacta el tributo de plusvalía en ninguno de los municipios al interior del ámbito de aplicación de la propuesta de resolución.</w:t>
      </w:r>
    </w:p>
    <w:p w:rsidRPr="00D11C96" w:rsidR="00352E76" w:rsidP="00352E76" w:rsidRDefault="00352E76" w14:paraId="2E15BAE6" w14:textId="1D5DBA6D">
      <w:pPr>
        <w:jc w:val="both"/>
        <w:rPr>
          <w:rFonts w:ascii="Garamond" w:hAnsi="Garamond"/>
          <w:sz w:val="22"/>
          <w:szCs w:val="22"/>
        </w:rPr>
      </w:pPr>
      <w:r w:rsidRPr="00D11C96">
        <w:rPr>
          <w:rFonts w:ascii="Garamond" w:hAnsi="Garamond"/>
          <w:sz w:val="22"/>
          <w:szCs w:val="22"/>
        </w:rPr>
        <w:t xml:space="preserve">De acuerdo con este desarrollo de los instrumentos </w:t>
      </w:r>
      <w:r w:rsidRPr="00D11C96">
        <w:rPr>
          <w:rFonts w:ascii="Garamond" w:hAnsi="Garamond"/>
          <w:b/>
          <w:bCs/>
          <w:sz w:val="22"/>
          <w:szCs w:val="22"/>
        </w:rPr>
        <w:t>es importante concluir que:</w:t>
      </w:r>
    </w:p>
    <w:p w:rsidRPr="00D11C96" w:rsidR="00352E76" w:rsidP="00352E76" w:rsidRDefault="00352E76" w14:paraId="5D590EA9" w14:textId="2C29C9ED">
      <w:pPr>
        <w:jc w:val="both"/>
        <w:rPr>
          <w:rFonts w:ascii="Garamond" w:hAnsi="Garamond"/>
          <w:sz w:val="22"/>
          <w:szCs w:val="22"/>
        </w:rPr>
      </w:pPr>
      <w:r w:rsidRPr="00D11C96">
        <w:rPr>
          <w:rFonts w:ascii="Garamond" w:hAnsi="Garamond"/>
          <w:sz w:val="22"/>
          <w:szCs w:val="22"/>
        </w:rPr>
        <w:t>Sobre el Impuesto Predial Unificado (IPU): El Artículo 30 de la propuesta es taxativo al afirmar que "la presente resolución no modifica situaciones jurídicas consolidadas". Dado que el IPU se liquida con base en el avalúo catastral y las tarifas definidas por los Concejos Municipales “considerando criterios como estrato, uso del suelo y antigüedad de la formación catastral”, la Resolución no tiene injerencia directa sobre estos factores. Las directrices no alteran la metodología de avalúo ni las tarifas, por lo cual no existe un impacto negativo sobre el recaudo predial de los municipios.</w:t>
      </w:r>
    </w:p>
    <w:p w:rsidRPr="00D11C96" w:rsidR="00352E76" w:rsidP="00352E76" w:rsidRDefault="00352E76" w14:paraId="3C944D46" w14:textId="77777777">
      <w:pPr>
        <w:jc w:val="both"/>
        <w:rPr>
          <w:rFonts w:ascii="Garamond" w:hAnsi="Garamond"/>
          <w:sz w:val="22"/>
          <w:szCs w:val="22"/>
        </w:rPr>
      </w:pPr>
      <w:r w:rsidRPr="00D11C96">
        <w:rPr>
          <w:rFonts w:ascii="Garamond" w:hAnsi="Garamond"/>
          <w:sz w:val="22"/>
          <w:szCs w:val="22"/>
        </w:rPr>
        <w:t>Sobre la Contribución de Valorización: La propuesta no decreta la realización de obras de infraestructura pública específicas, hecho generador indispensable para el cobro de la contribución de valorización. Al no existir una expresión cartográfica de restricción que se superponga o cancele proyectos de infraestructura preexistentes financiados por este mecanismo, no se afecta la viabilidad financiera de obras en curso. La valorización depende del "beneficio" derivado de una obra pública; al no modificarse las obras planificadas en situaciones jurídicas consolidadas, el instrumento permanece inalterado.</w:t>
      </w:r>
    </w:p>
    <w:p w:rsidRPr="00D11C96" w:rsidR="00352E76" w:rsidP="00352E76" w:rsidRDefault="00352E76" w14:paraId="20655524" w14:textId="6B4298B3">
      <w:pPr>
        <w:jc w:val="both"/>
        <w:rPr>
          <w:rFonts w:ascii="Garamond" w:hAnsi="Garamond"/>
          <w:sz w:val="22"/>
          <w:szCs w:val="22"/>
        </w:rPr>
      </w:pPr>
      <w:r w:rsidRPr="00D11C96">
        <w:rPr>
          <w:rFonts w:ascii="Garamond" w:hAnsi="Garamond"/>
          <w:sz w:val="22"/>
          <w:szCs w:val="22"/>
        </w:rPr>
        <w:t>Sobre la participación en Plusvalía, la Resolución no configura ninguno de los hechos generadores establecidos en la Ley 388 de 1997 (Art. 74).</w:t>
      </w:r>
    </w:p>
    <w:p w:rsidRPr="00D11C96" w:rsidR="00352E76" w:rsidP="00352E76" w:rsidRDefault="00352E76" w14:paraId="6A801054" w14:textId="77777777">
      <w:pPr>
        <w:pStyle w:val="ListParagraph"/>
        <w:numPr>
          <w:ilvl w:val="0"/>
          <w:numId w:val="20"/>
        </w:numPr>
        <w:jc w:val="both"/>
        <w:rPr>
          <w:rFonts w:ascii="Garamond" w:hAnsi="Garamond"/>
          <w:sz w:val="22"/>
          <w:szCs w:val="22"/>
        </w:rPr>
      </w:pPr>
      <w:r w:rsidRPr="00D11C96">
        <w:rPr>
          <w:rFonts w:ascii="Garamond" w:hAnsi="Garamond"/>
          <w:sz w:val="22"/>
          <w:szCs w:val="22"/>
        </w:rPr>
        <w:t>No modifica la clasificación del suelo: El Artículo 4 sobre orientaciones para modelos de ocupación respeta la clasificación de suelo (urbano, rural, expansión) vigente en los POT.</w:t>
      </w:r>
    </w:p>
    <w:p w:rsidRPr="00D11C96" w:rsidR="00352E76" w:rsidP="00352E76" w:rsidRDefault="00352E76" w14:paraId="4DFF66F1" w14:textId="77777777">
      <w:pPr>
        <w:pStyle w:val="ListParagraph"/>
        <w:numPr>
          <w:ilvl w:val="0"/>
          <w:numId w:val="20"/>
        </w:numPr>
        <w:jc w:val="both"/>
        <w:rPr>
          <w:rFonts w:ascii="Garamond" w:hAnsi="Garamond"/>
          <w:sz w:val="22"/>
          <w:szCs w:val="22"/>
        </w:rPr>
      </w:pPr>
      <w:r w:rsidRPr="00D11C96">
        <w:rPr>
          <w:rFonts w:ascii="Garamond" w:hAnsi="Garamond"/>
          <w:sz w:val="22"/>
          <w:szCs w:val="22"/>
        </w:rPr>
        <w:t>No modifica el régimen de usos: No se autoriza el cambio de uso de suelo de rural a suburbano o urbano más allá de lo ya aprobado.</w:t>
      </w:r>
    </w:p>
    <w:p w:rsidRPr="00D11C96" w:rsidR="00352E76" w:rsidP="00352E76" w:rsidRDefault="00352E76" w14:paraId="5A1D1220" w14:textId="77777777">
      <w:pPr>
        <w:pStyle w:val="ListParagraph"/>
        <w:numPr>
          <w:ilvl w:val="0"/>
          <w:numId w:val="20"/>
        </w:numPr>
        <w:jc w:val="both"/>
        <w:rPr>
          <w:rFonts w:ascii="Garamond" w:hAnsi="Garamond"/>
          <w:sz w:val="22"/>
          <w:szCs w:val="22"/>
        </w:rPr>
      </w:pPr>
      <w:r w:rsidRPr="00D11C96">
        <w:rPr>
          <w:rFonts w:ascii="Garamond" w:hAnsi="Garamond"/>
          <w:sz w:val="22"/>
          <w:szCs w:val="22"/>
        </w:rPr>
        <w:t>No autoriza mayor aprovechamiento: La norma no eleva índices de ocupación ni de construcción.</w:t>
      </w:r>
    </w:p>
    <w:p w:rsidRPr="00D11C96" w:rsidR="00352E76" w:rsidP="00352E76" w:rsidRDefault="00352E76" w14:paraId="284D4904" w14:textId="77777777">
      <w:pPr>
        <w:jc w:val="both"/>
      </w:pPr>
      <w:r w:rsidRPr="00D11C96">
        <w:rPr>
          <w:rFonts w:ascii="Garamond" w:hAnsi="Garamond"/>
          <w:sz w:val="22"/>
          <w:szCs w:val="22"/>
        </w:rPr>
        <w:t>Por el contrario, al mantener las condiciones de edificabilidad vigentes y enfocarse en directrices ambientales, la Resolución no genera "mayor valor" por acción urbanística que deba ser capturado por el Estado, garantizando así que no se impongan cargas ni se afecten las expectativas legítimas de recaudo por este concepto en los municipios de la Sabana.</w:t>
      </w:r>
    </w:p>
    <w:p w:rsidRPr="00D11C96" w:rsidR="00352E76" w:rsidP="005609E7" w:rsidRDefault="005609E7" w14:paraId="7CBF98E2" w14:textId="4D980868">
      <w:pPr>
        <w:pStyle w:val="Heading2"/>
        <w:numPr>
          <w:ilvl w:val="0"/>
          <w:numId w:val="10"/>
        </w:numPr>
      </w:pPr>
      <w:bookmarkStart w:name="_Toc216938703" w:id="10"/>
      <w:r w:rsidRPr="00D11C96">
        <w:t>Efectos sobre la adecuada identificación de las variables del territorio</w:t>
      </w:r>
      <w:bookmarkEnd w:id="10"/>
      <w:r w:rsidRPr="00D11C96">
        <w:t>  </w:t>
      </w:r>
    </w:p>
    <w:p w:rsidRPr="00D11C96" w:rsidR="00A4203C" w:rsidP="00A1785B" w:rsidRDefault="00A4203C" w14:paraId="464158A0" w14:textId="5A7C21BE">
      <w:pPr>
        <w:jc w:val="both"/>
        <w:rPr>
          <w:rFonts w:ascii="Garamond" w:hAnsi="Garamond"/>
          <w:b/>
          <w:bCs/>
          <w:sz w:val="22"/>
          <w:szCs w:val="22"/>
        </w:rPr>
      </w:pPr>
      <w:r w:rsidRPr="00D11C96">
        <w:rPr>
          <w:rFonts w:ascii="Garamond" w:hAnsi="Garamond"/>
          <w:b/>
          <w:bCs/>
          <w:sz w:val="22"/>
          <w:szCs w:val="22"/>
        </w:rPr>
        <w:t>Agricultura</w:t>
      </w:r>
      <w:r w:rsidRPr="00D11C96" w:rsidR="00C9482A">
        <w:rPr>
          <w:rFonts w:ascii="Garamond" w:hAnsi="Garamond"/>
          <w:b/>
          <w:bCs/>
          <w:sz w:val="22"/>
          <w:szCs w:val="22"/>
        </w:rPr>
        <w:t xml:space="preserve"> </w:t>
      </w:r>
    </w:p>
    <w:p w:rsidRPr="00D11C96" w:rsidR="00B26A81" w:rsidP="00B91775" w:rsidRDefault="00A604D4" w14:paraId="546EAD1E" w14:textId="77777777">
      <w:pPr>
        <w:jc w:val="both"/>
        <w:rPr>
          <w:rFonts w:ascii="Garamond" w:hAnsi="Garamond"/>
          <w:sz w:val="22"/>
          <w:szCs w:val="22"/>
        </w:rPr>
      </w:pPr>
      <w:r w:rsidRPr="00D11C96">
        <w:rPr>
          <w:rFonts w:ascii="Garamond" w:hAnsi="Garamond"/>
          <w:sz w:val="22"/>
          <w:szCs w:val="22"/>
        </w:rPr>
        <w:t>De acuerdo con la Gobernación de Cundinamarca (2020)</w:t>
      </w:r>
      <w:r w:rsidRPr="00D11C96" w:rsidR="00C9482A">
        <w:rPr>
          <w:rFonts w:ascii="Garamond" w:hAnsi="Garamond"/>
          <w:sz w:val="22"/>
          <w:szCs w:val="22"/>
        </w:rPr>
        <w:t xml:space="preserve"> </w:t>
      </w:r>
      <w:r w:rsidRPr="00D11C96">
        <w:rPr>
          <w:rFonts w:ascii="Garamond" w:hAnsi="Garamond"/>
          <w:sz w:val="22"/>
          <w:szCs w:val="22"/>
        </w:rPr>
        <w:t xml:space="preserve">y datos del DANE (2005), la principal actividad con mayor participación en el PIB departamental es la agricultura, ganadería, caza, silvicultura y pesca con un aporte del 11.98 %. </w:t>
      </w:r>
    </w:p>
    <w:p w:rsidRPr="00D11C96" w:rsidR="00A604D4" w:rsidP="00B91775" w:rsidRDefault="00B26A81" w14:paraId="23067E4F" w14:textId="0A78B970">
      <w:pPr>
        <w:jc w:val="both"/>
        <w:rPr>
          <w:rFonts w:ascii="Garamond" w:hAnsi="Garamond"/>
          <w:sz w:val="22"/>
          <w:szCs w:val="22"/>
        </w:rPr>
      </w:pPr>
      <w:r w:rsidRPr="00D11C96">
        <w:rPr>
          <w:rFonts w:ascii="Garamond" w:hAnsi="Garamond"/>
          <w:sz w:val="22"/>
          <w:szCs w:val="22"/>
        </w:rPr>
        <w:t>Esta primera divida en Cultivos Permanentes con un total de 124.732,9 hectáreas cosechadas y una participación de 50,2 en segundo lugar, Cultivos Transitorios con un total de 119.447,5 hectáreas cosechadas y una participación del 48,1%, y finalmente los Cultivos Anuales con 4.139,3 hectáreas y una participación de 1,7% para el año 2023, lo que represento un incremento del 1,8% con relación al año 2022, según lo reportado por el Volumen 31 de las estadísticas agropecuarias de la Secretaria de agro campesinado de la gobernación de Cundinamarca.</w:t>
      </w:r>
    </w:p>
    <w:p w:rsidR="00216BDC" w:rsidP="00BA49C2" w:rsidRDefault="00BA49C2" w14:paraId="4554693C" w14:textId="168E0F3D">
      <w:pPr>
        <w:pStyle w:val="Caption"/>
        <w:jc w:val="center"/>
      </w:pPr>
      <w:r>
        <w:t xml:space="preserve">Ilustración </w:t>
      </w:r>
      <w:r>
        <w:fldChar w:fldCharType="begin"/>
      </w:r>
      <w:r>
        <w:instrText xml:space="preserve"> SEQ Ilustración \* ARABIC </w:instrText>
      </w:r>
      <w:r>
        <w:fldChar w:fldCharType="separate"/>
      </w:r>
      <w:r w:rsidR="00FF34DC">
        <w:rPr>
          <w:noProof/>
        </w:rPr>
        <w:t>1</w:t>
      </w:r>
      <w:r>
        <w:fldChar w:fldCharType="end"/>
      </w:r>
      <w:r>
        <w:t xml:space="preserve">. </w:t>
      </w:r>
      <w:r w:rsidRPr="001606FC">
        <w:t>evolución área cosechada por tipo de cultivo (ha) años 2016 – 2023</w:t>
      </w:r>
    </w:p>
    <w:p w:rsidRPr="00D11C96" w:rsidR="00B26A81" w:rsidP="00BA49C2" w:rsidRDefault="00216BDC" w14:paraId="170552C2" w14:textId="55660180">
      <w:pPr>
        <w:pStyle w:val="Caption"/>
        <w:jc w:val="center"/>
        <w:rPr>
          <w:rFonts w:ascii="Garamond" w:hAnsi="Garamond"/>
          <w:sz w:val="22"/>
          <w:szCs w:val="22"/>
        </w:rPr>
      </w:pPr>
      <w:r w:rsidRPr="00D11C96">
        <w:rPr>
          <w:rFonts w:ascii="Garamond" w:hAnsi="Garamond"/>
          <w:noProof/>
          <w:sz w:val="22"/>
          <w:szCs w:val="22"/>
        </w:rPr>
        <w:drawing>
          <wp:inline distT="0" distB="0" distL="0" distR="0" wp14:anchorId="6487D608" wp14:editId="6F4F6F19">
            <wp:extent cx="5943600" cy="1323340"/>
            <wp:effectExtent l="0" t="0" r="0" b="0"/>
            <wp:docPr id="141131375" name="Picture 1" descr="A table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1375" name="Picture 1" descr="A table with numbers and a number on it&#10;&#10;AI-generated content may be incorrect."/>
                    <pic:cNvPicPr/>
                  </pic:nvPicPr>
                  <pic:blipFill>
                    <a:blip r:embed="rId11"/>
                    <a:stretch>
                      <a:fillRect/>
                    </a:stretch>
                  </pic:blipFill>
                  <pic:spPr>
                    <a:xfrm>
                      <a:off x="0" y="0"/>
                      <a:ext cx="5943600" cy="1323340"/>
                    </a:xfrm>
                    <a:prstGeom prst="rect">
                      <a:avLst/>
                    </a:prstGeom>
                  </pic:spPr>
                </pic:pic>
              </a:graphicData>
            </a:graphic>
          </wp:inline>
        </w:drawing>
      </w:r>
    </w:p>
    <w:p w:rsidRPr="00216BDC" w:rsidR="00B26A81" w:rsidP="00B26A81" w:rsidRDefault="00B26A81" w14:paraId="0273AFDD" w14:textId="66BD89B2">
      <w:pPr>
        <w:jc w:val="center"/>
        <w:rPr>
          <w:rFonts w:ascii="Garamond" w:hAnsi="Garamond"/>
          <w:sz w:val="18"/>
          <w:szCs w:val="18"/>
        </w:rPr>
      </w:pPr>
      <w:r w:rsidRPr="00216BDC">
        <w:rPr>
          <w:rFonts w:ascii="Garamond" w:hAnsi="Garamond"/>
          <w:sz w:val="18"/>
          <w:szCs w:val="18"/>
        </w:rPr>
        <w:t>Fuente: Gobernación de Cundinamarca - Volumen 31 de las estadísticas agropecuarias.</w:t>
      </w:r>
    </w:p>
    <w:p w:rsidRPr="00D11C96" w:rsidR="00A604D4" w:rsidP="00B91775" w:rsidRDefault="0042349A" w14:paraId="651FB9F0" w14:textId="30AFC53E">
      <w:pPr>
        <w:jc w:val="both"/>
        <w:rPr>
          <w:rFonts w:ascii="Garamond" w:hAnsi="Garamond"/>
          <w:sz w:val="22"/>
          <w:szCs w:val="22"/>
        </w:rPr>
      </w:pPr>
      <w:r w:rsidRPr="00D11C96">
        <w:rPr>
          <w:rFonts w:ascii="Garamond" w:hAnsi="Garamond"/>
          <w:sz w:val="22"/>
          <w:szCs w:val="22"/>
        </w:rPr>
        <w:t>En este sentido</w:t>
      </w:r>
      <w:r w:rsidRPr="00D11C96" w:rsidR="00A604D4">
        <w:rPr>
          <w:rFonts w:ascii="Garamond" w:hAnsi="Garamond"/>
          <w:sz w:val="22"/>
          <w:szCs w:val="22"/>
        </w:rPr>
        <w:t xml:space="preserve"> y reconociendo la amplia e importante vocación del suelo en materia de producción alimentaria, la protección del suelo y el agua como principales insumos para la producción agrícola se convierte en un ítem de importancia prospectiva para la seguridad y soberanía alimentaria de la Sabana, los cuales, de acuerdo con el IDEAM (2024), se han venido afectando por la expansión urbana y el desarrollo de infraestructuras, desencadenando un aumento de la degradación por sellamiento del suelo. </w:t>
      </w:r>
    </w:p>
    <w:p w:rsidRPr="00D11C96" w:rsidR="002C1E37" w:rsidP="00B91775" w:rsidRDefault="00A604D4" w14:paraId="138A0956" w14:textId="77777777">
      <w:pPr>
        <w:jc w:val="both"/>
        <w:rPr>
          <w:rFonts w:ascii="Garamond" w:hAnsi="Garamond"/>
          <w:sz w:val="22"/>
          <w:szCs w:val="22"/>
        </w:rPr>
      </w:pPr>
      <w:r w:rsidRPr="00D11C96">
        <w:rPr>
          <w:rFonts w:ascii="Garamond" w:hAnsi="Garamond"/>
          <w:sz w:val="22"/>
          <w:szCs w:val="22"/>
        </w:rPr>
        <w:t xml:space="preserve">Esta pérdida de suelos con capacidad agrológica significativa para la producción agropecuaria en la Sabana de Bogotá, principalmente por el sellamiento del suelo, ha provocado la pérdida de suelos rurales, especialmente aquellos con capacidad agrológica clase II, III, IV y V. </w:t>
      </w:r>
    </w:p>
    <w:p w:rsidRPr="00D11C96" w:rsidR="00B26A81" w:rsidP="00B26A81" w:rsidRDefault="002C1E37" w14:paraId="48D9F124" w14:textId="20675D7D">
      <w:pPr>
        <w:jc w:val="both"/>
        <w:rPr>
          <w:rFonts w:ascii="Garamond" w:hAnsi="Garamond"/>
          <w:sz w:val="22"/>
          <w:szCs w:val="22"/>
        </w:rPr>
      </w:pPr>
      <w:r w:rsidRPr="00D11C96">
        <w:rPr>
          <w:rFonts w:ascii="Garamond" w:hAnsi="Garamond"/>
          <w:sz w:val="22"/>
          <w:szCs w:val="22"/>
        </w:rPr>
        <w:t xml:space="preserve">Comparando la información agrológica del Instituto Geográfico Agustín Codazzi con la huella de ocupación 2005-2018, se determinó que la expansión urbana intercensal ha implicado la pérdida de </w:t>
      </w:r>
      <w:r w:rsidRPr="00D11C96" w:rsidR="00B26A81">
        <w:rPr>
          <w:rFonts w:ascii="Garamond" w:hAnsi="Garamond"/>
          <w:sz w:val="22"/>
          <w:szCs w:val="22"/>
        </w:rPr>
        <w:t>más de 14.000</w:t>
      </w:r>
      <w:r w:rsidRPr="00D11C96">
        <w:rPr>
          <w:rFonts w:ascii="Garamond" w:hAnsi="Garamond"/>
          <w:sz w:val="22"/>
          <w:szCs w:val="22"/>
        </w:rPr>
        <w:t xml:space="preserve"> hectáreas de suelos aptos para la producción de alimentos</w:t>
      </w:r>
      <w:r w:rsidRPr="00D11C96" w:rsidR="00B26A81">
        <w:rPr>
          <w:rFonts w:ascii="Garamond" w:hAnsi="Garamond"/>
          <w:sz w:val="22"/>
          <w:szCs w:val="22"/>
        </w:rPr>
        <w:t xml:space="preserve"> debido al incremento de áreas artificializadas en suelos de clase II, III, IV y V al interior del ámbito de aplicación de la propuesta de resolución de directrices de ordenamiento ambiental de la Sabana de Bogotá, siendo Bogotá, Chía y Cota, de los entes territoriales con mayor incremento. </w:t>
      </w:r>
    </w:p>
    <w:p w:rsidRPr="00D11C96" w:rsidR="00B26A81" w:rsidP="00B26A81" w:rsidRDefault="00B26A81" w14:paraId="6C04C2D9" w14:textId="05A9169D">
      <w:pPr>
        <w:jc w:val="center"/>
        <w:rPr>
          <w:rFonts w:ascii="Garamond" w:hAnsi="Garamond"/>
          <w:i/>
          <w:iCs/>
          <w:sz w:val="22"/>
          <w:szCs w:val="22"/>
        </w:rPr>
      </w:pPr>
    </w:p>
    <w:p w:rsidR="00216BDC" w:rsidP="00216BDC" w:rsidRDefault="00216BDC" w14:paraId="1531D87E" w14:textId="6E873F8E">
      <w:pPr>
        <w:pStyle w:val="Caption"/>
        <w:keepNext/>
        <w:jc w:val="center"/>
      </w:pPr>
      <w:r>
        <w:t xml:space="preserve">Tabla </w:t>
      </w:r>
      <w:r>
        <w:fldChar w:fldCharType="begin"/>
      </w:r>
      <w:r>
        <w:instrText xml:space="preserve"> SEQ Tabla \* ARABIC </w:instrText>
      </w:r>
      <w:r>
        <w:fldChar w:fldCharType="separate"/>
      </w:r>
      <w:r w:rsidR="006E2525">
        <w:rPr>
          <w:noProof/>
        </w:rPr>
        <w:t>1</w:t>
      </w:r>
      <w:r>
        <w:fldChar w:fldCharType="end"/>
      </w:r>
      <w:r>
        <w:t xml:space="preserve">. </w:t>
      </w:r>
      <w:r w:rsidRPr="002E7363">
        <w:t>Crecimiento entre 2018 - 2002 de áreas artificializadas en suelos de clase II, III y IV.</w:t>
      </w:r>
    </w:p>
    <w:tbl>
      <w:tblPr>
        <w:tblW w:w="5953" w:type="dxa"/>
        <w:tblInd w:w="1413" w:type="dxa"/>
        <w:tblLook w:val="04A0" w:firstRow="1" w:lastRow="0" w:firstColumn="1" w:lastColumn="0" w:noHBand="0" w:noVBand="1"/>
      </w:tblPr>
      <w:tblGrid>
        <w:gridCol w:w="2410"/>
        <w:gridCol w:w="1701"/>
        <w:gridCol w:w="1842"/>
      </w:tblGrid>
      <w:tr w:rsidRPr="00D11C96" w:rsidR="00B26A81" w14:paraId="4C321AB1" w14:textId="77777777">
        <w:trPr>
          <w:trHeight w:val="288"/>
          <w:tblHeader/>
        </w:trPr>
        <w:tc>
          <w:tcPr>
            <w:tcW w:w="5953" w:type="dxa"/>
            <w:gridSpan w:val="3"/>
            <w:tcBorders>
              <w:top w:val="single" w:color="auto" w:sz="4" w:space="0"/>
              <w:left w:val="single" w:color="auto" w:sz="4" w:space="0"/>
              <w:bottom w:val="single" w:color="auto" w:sz="4" w:space="0"/>
              <w:right w:val="single" w:color="auto" w:sz="4" w:space="0"/>
            </w:tcBorders>
            <w:noWrap/>
            <w:vAlign w:val="center"/>
            <w:hideMark/>
          </w:tcPr>
          <w:p w:rsidRPr="00D11C96" w:rsidR="00B26A81" w:rsidP="00B26A81" w:rsidRDefault="00B26A81" w14:paraId="0DB3F7B2" w14:textId="676BF7F1">
            <w:pPr>
              <w:spacing w:after="0" w:line="240" w:lineRule="auto"/>
              <w:jc w:val="both"/>
              <w:rPr>
                <w:rFonts w:ascii="Garamond" w:hAnsi="Garamond"/>
                <w:b/>
                <w:sz w:val="16"/>
                <w:szCs w:val="16"/>
              </w:rPr>
            </w:pPr>
            <w:r w:rsidRPr="00D11C96">
              <w:rPr>
                <w:rFonts w:ascii="Garamond" w:hAnsi="Garamond"/>
                <w:b/>
                <w:sz w:val="16"/>
                <w:szCs w:val="16"/>
              </w:rPr>
              <w:t>Crecimiento entre 2018 - 2002 de áreas artificializadas en suelos de clase II, III</w:t>
            </w:r>
            <w:r w:rsidR="00216BDC">
              <w:rPr>
                <w:rFonts w:ascii="Garamond" w:hAnsi="Garamond"/>
                <w:b/>
                <w:sz w:val="16"/>
                <w:szCs w:val="16"/>
              </w:rPr>
              <w:t xml:space="preserve"> y</w:t>
            </w:r>
            <w:r w:rsidRPr="00D11C96">
              <w:rPr>
                <w:rFonts w:ascii="Garamond" w:hAnsi="Garamond"/>
                <w:b/>
                <w:sz w:val="16"/>
                <w:szCs w:val="16"/>
              </w:rPr>
              <w:t xml:space="preserve"> IV</w:t>
            </w:r>
          </w:p>
        </w:tc>
      </w:tr>
      <w:tr w:rsidRPr="00D11C96" w:rsidR="00B26A81" w14:paraId="2CE2E6E0" w14:textId="77777777">
        <w:trPr>
          <w:trHeight w:val="288"/>
          <w:tblHeader/>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936C687" w14:textId="77777777">
            <w:pPr>
              <w:spacing w:after="0" w:line="240" w:lineRule="auto"/>
              <w:jc w:val="both"/>
              <w:rPr>
                <w:rFonts w:ascii="Garamond" w:hAnsi="Garamond"/>
                <w:b/>
                <w:sz w:val="16"/>
                <w:szCs w:val="16"/>
              </w:rPr>
            </w:pPr>
            <w:r w:rsidRPr="00D11C96">
              <w:rPr>
                <w:rFonts w:ascii="Garamond" w:hAnsi="Garamond"/>
                <w:b/>
                <w:sz w:val="16"/>
                <w:szCs w:val="16"/>
              </w:rPr>
              <w:t>Municipio</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56AF4CD" w14:textId="77777777">
            <w:pPr>
              <w:spacing w:after="0" w:line="240" w:lineRule="auto"/>
              <w:jc w:val="both"/>
              <w:rPr>
                <w:rFonts w:ascii="Garamond" w:hAnsi="Garamond"/>
                <w:b/>
                <w:sz w:val="16"/>
                <w:szCs w:val="16"/>
              </w:rPr>
            </w:pPr>
            <w:r w:rsidRPr="00D11C96">
              <w:rPr>
                <w:rFonts w:ascii="Garamond" w:hAnsi="Garamond"/>
                <w:b/>
                <w:sz w:val="16"/>
                <w:szCs w:val="16"/>
              </w:rPr>
              <w:t>Crecimiento de Área Artificializada (ha)</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733E0215" w14:textId="77777777">
            <w:pPr>
              <w:spacing w:after="0" w:line="240" w:lineRule="auto"/>
              <w:jc w:val="both"/>
              <w:rPr>
                <w:rFonts w:ascii="Garamond" w:hAnsi="Garamond"/>
                <w:b/>
                <w:sz w:val="16"/>
                <w:szCs w:val="16"/>
              </w:rPr>
            </w:pPr>
            <w:r w:rsidRPr="00D11C96">
              <w:rPr>
                <w:rFonts w:ascii="Garamond" w:hAnsi="Garamond"/>
                <w:b/>
                <w:sz w:val="16"/>
                <w:szCs w:val="16"/>
              </w:rPr>
              <w:t>Porcentaje artificializado del municipio dentro del ámbito</w:t>
            </w:r>
          </w:p>
        </w:tc>
      </w:tr>
      <w:tr w:rsidRPr="00D11C96" w:rsidR="00B26A81" w14:paraId="5D17237B"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17BFF3F9" w14:textId="77777777">
            <w:pPr>
              <w:spacing w:after="0" w:line="240" w:lineRule="auto"/>
              <w:jc w:val="both"/>
              <w:rPr>
                <w:rFonts w:ascii="Garamond" w:hAnsi="Garamond"/>
                <w:b/>
                <w:sz w:val="16"/>
                <w:szCs w:val="16"/>
              </w:rPr>
            </w:pPr>
            <w:r w:rsidRPr="00D11C96">
              <w:rPr>
                <w:rFonts w:ascii="Garamond" w:hAnsi="Garamond"/>
                <w:b/>
                <w:sz w:val="16"/>
                <w:szCs w:val="16"/>
              </w:rPr>
              <w:t>Bogotá D.C.</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39FF4DB5" w14:textId="77777777">
            <w:pPr>
              <w:spacing w:after="0" w:line="240" w:lineRule="auto"/>
              <w:jc w:val="both"/>
              <w:rPr>
                <w:rFonts w:ascii="Garamond" w:hAnsi="Garamond"/>
                <w:sz w:val="16"/>
                <w:szCs w:val="16"/>
              </w:rPr>
            </w:pPr>
            <w:r w:rsidRPr="00D11C96">
              <w:rPr>
                <w:rFonts w:ascii="Garamond" w:hAnsi="Garamond"/>
                <w:sz w:val="16"/>
                <w:szCs w:val="16"/>
              </w:rPr>
              <w:t>3942.5209</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254DFB7" w14:textId="77777777">
            <w:pPr>
              <w:spacing w:after="0" w:line="240" w:lineRule="auto"/>
              <w:jc w:val="both"/>
              <w:rPr>
                <w:rFonts w:ascii="Garamond" w:hAnsi="Garamond"/>
                <w:sz w:val="16"/>
                <w:szCs w:val="16"/>
              </w:rPr>
            </w:pPr>
            <w:r w:rsidRPr="00D11C96">
              <w:rPr>
                <w:rFonts w:ascii="Garamond" w:hAnsi="Garamond"/>
                <w:sz w:val="16"/>
                <w:szCs w:val="16"/>
              </w:rPr>
              <w:t>4.66%</w:t>
            </w:r>
          </w:p>
        </w:tc>
      </w:tr>
      <w:tr w:rsidRPr="00D11C96" w:rsidR="00B26A81" w14:paraId="6ECE4F4C"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5BB901C5" w14:textId="77777777">
            <w:pPr>
              <w:spacing w:after="0" w:line="240" w:lineRule="auto"/>
              <w:jc w:val="both"/>
              <w:rPr>
                <w:rFonts w:ascii="Garamond" w:hAnsi="Garamond"/>
                <w:b/>
                <w:sz w:val="16"/>
                <w:szCs w:val="16"/>
              </w:rPr>
            </w:pPr>
            <w:r w:rsidRPr="00D11C96">
              <w:rPr>
                <w:rFonts w:ascii="Garamond" w:hAnsi="Garamond"/>
                <w:b/>
                <w:sz w:val="16"/>
                <w:szCs w:val="16"/>
              </w:rPr>
              <w:t>Bojacá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6385C578" w14:textId="77777777">
            <w:pPr>
              <w:spacing w:after="0" w:line="240" w:lineRule="auto"/>
              <w:jc w:val="both"/>
              <w:rPr>
                <w:rFonts w:ascii="Garamond" w:hAnsi="Garamond"/>
                <w:sz w:val="16"/>
                <w:szCs w:val="16"/>
              </w:rPr>
            </w:pPr>
            <w:r w:rsidRPr="00D11C96">
              <w:rPr>
                <w:rFonts w:ascii="Garamond" w:hAnsi="Garamond"/>
                <w:sz w:val="16"/>
                <w:szCs w:val="16"/>
              </w:rPr>
              <w:t>89.6409</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DF583CF" w14:textId="77777777">
            <w:pPr>
              <w:spacing w:after="0" w:line="240" w:lineRule="auto"/>
              <w:jc w:val="both"/>
              <w:rPr>
                <w:rFonts w:ascii="Garamond" w:hAnsi="Garamond"/>
                <w:sz w:val="16"/>
                <w:szCs w:val="16"/>
              </w:rPr>
            </w:pPr>
            <w:r w:rsidRPr="00D11C96">
              <w:rPr>
                <w:rFonts w:ascii="Garamond" w:hAnsi="Garamond"/>
                <w:sz w:val="16"/>
                <w:szCs w:val="16"/>
              </w:rPr>
              <w:t>0.88%</w:t>
            </w:r>
          </w:p>
        </w:tc>
      </w:tr>
      <w:tr w:rsidRPr="00D11C96" w:rsidR="00B26A81" w14:paraId="6A170ADA"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7BC5122A" w14:textId="77777777">
            <w:pPr>
              <w:spacing w:after="0" w:line="240" w:lineRule="auto"/>
              <w:jc w:val="both"/>
              <w:rPr>
                <w:rFonts w:ascii="Garamond" w:hAnsi="Garamond"/>
                <w:b/>
                <w:sz w:val="16"/>
                <w:szCs w:val="16"/>
              </w:rPr>
            </w:pPr>
            <w:r w:rsidRPr="00D11C96">
              <w:rPr>
                <w:rFonts w:ascii="Garamond" w:hAnsi="Garamond"/>
                <w:b/>
                <w:sz w:val="16"/>
                <w:szCs w:val="16"/>
              </w:rPr>
              <w:t>Cajicá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5256C354" w14:textId="77777777">
            <w:pPr>
              <w:spacing w:after="0" w:line="240" w:lineRule="auto"/>
              <w:jc w:val="both"/>
              <w:rPr>
                <w:rFonts w:ascii="Garamond" w:hAnsi="Garamond"/>
                <w:sz w:val="16"/>
                <w:szCs w:val="16"/>
              </w:rPr>
            </w:pPr>
            <w:r w:rsidRPr="00D11C96">
              <w:rPr>
                <w:rFonts w:ascii="Garamond" w:hAnsi="Garamond"/>
                <w:sz w:val="16"/>
                <w:szCs w:val="16"/>
              </w:rPr>
              <w:t>764.1425</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659040E9" w14:textId="77777777">
            <w:pPr>
              <w:spacing w:after="0" w:line="240" w:lineRule="auto"/>
              <w:jc w:val="both"/>
              <w:rPr>
                <w:rFonts w:ascii="Garamond" w:hAnsi="Garamond"/>
                <w:sz w:val="16"/>
                <w:szCs w:val="16"/>
              </w:rPr>
            </w:pPr>
            <w:r w:rsidRPr="00D11C96">
              <w:rPr>
                <w:rFonts w:ascii="Garamond" w:hAnsi="Garamond"/>
                <w:sz w:val="16"/>
                <w:szCs w:val="16"/>
              </w:rPr>
              <w:t>14.91%</w:t>
            </w:r>
          </w:p>
        </w:tc>
      </w:tr>
      <w:tr w:rsidRPr="00D11C96" w:rsidR="00B26A81" w14:paraId="20D45E4D"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11082FBB" w14:textId="77777777">
            <w:pPr>
              <w:spacing w:after="0" w:line="240" w:lineRule="auto"/>
              <w:jc w:val="both"/>
              <w:rPr>
                <w:rFonts w:ascii="Garamond" w:hAnsi="Garamond"/>
                <w:b/>
                <w:sz w:val="16"/>
                <w:szCs w:val="16"/>
              </w:rPr>
            </w:pPr>
            <w:r w:rsidRPr="00D11C96">
              <w:rPr>
                <w:rFonts w:ascii="Garamond" w:hAnsi="Garamond"/>
                <w:b/>
                <w:sz w:val="16"/>
                <w:szCs w:val="16"/>
              </w:rPr>
              <w:t>Chía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21BC6F2" w14:textId="77777777">
            <w:pPr>
              <w:spacing w:after="0" w:line="240" w:lineRule="auto"/>
              <w:jc w:val="both"/>
              <w:rPr>
                <w:rFonts w:ascii="Garamond" w:hAnsi="Garamond"/>
                <w:sz w:val="16"/>
                <w:szCs w:val="16"/>
              </w:rPr>
            </w:pPr>
            <w:r w:rsidRPr="00D11C96">
              <w:rPr>
                <w:rFonts w:ascii="Garamond" w:hAnsi="Garamond"/>
                <w:sz w:val="16"/>
                <w:szCs w:val="16"/>
              </w:rPr>
              <w:t>1382.2131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7EABD341" w14:textId="77777777">
            <w:pPr>
              <w:spacing w:after="0" w:line="240" w:lineRule="auto"/>
              <w:jc w:val="both"/>
              <w:rPr>
                <w:rFonts w:ascii="Garamond" w:hAnsi="Garamond"/>
                <w:sz w:val="16"/>
                <w:szCs w:val="16"/>
              </w:rPr>
            </w:pPr>
            <w:r w:rsidRPr="00D11C96">
              <w:rPr>
                <w:rFonts w:ascii="Garamond" w:hAnsi="Garamond"/>
                <w:sz w:val="16"/>
                <w:szCs w:val="16"/>
              </w:rPr>
              <w:t>17.32%</w:t>
            </w:r>
          </w:p>
        </w:tc>
      </w:tr>
      <w:tr w:rsidRPr="00D11C96" w:rsidR="00B26A81" w14:paraId="341201AD"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0E3279EE" w14:textId="77777777">
            <w:pPr>
              <w:spacing w:after="0" w:line="240" w:lineRule="auto"/>
              <w:jc w:val="both"/>
              <w:rPr>
                <w:rFonts w:ascii="Garamond" w:hAnsi="Garamond"/>
                <w:b/>
                <w:sz w:val="16"/>
                <w:szCs w:val="16"/>
              </w:rPr>
            </w:pPr>
            <w:r w:rsidRPr="00D11C96">
              <w:rPr>
                <w:rFonts w:ascii="Garamond" w:hAnsi="Garamond"/>
                <w:b/>
                <w:sz w:val="16"/>
                <w:szCs w:val="16"/>
              </w:rPr>
              <w:t>Chocontá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417C5DA7" w14:textId="77777777">
            <w:pPr>
              <w:spacing w:after="0" w:line="240" w:lineRule="auto"/>
              <w:jc w:val="both"/>
              <w:rPr>
                <w:rFonts w:ascii="Garamond" w:hAnsi="Garamond"/>
                <w:sz w:val="16"/>
                <w:szCs w:val="16"/>
              </w:rPr>
            </w:pPr>
            <w:r w:rsidRPr="00D11C96">
              <w:rPr>
                <w:rFonts w:ascii="Garamond" w:hAnsi="Garamond"/>
                <w:sz w:val="16"/>
                <w:szCs w:val="16"/>
              </w:rPr>
              <w:t>29.4545</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B21A05D" w14:textId="77777777">
            <w:pPr>
              <w:spacing w:after="0" w:line="240" w:lineRule="auto"/>
              <w:jc w:val="both"/>
              <w:rPr>
                <w:rFonts w:ascii="Garamond" w:hAnsi="Garamond"/>
                <w:sz w:val="16"/>
                <w:szCs w:val="16"/>
              </w:rPr>
            </w:pPr>
            <w:r w:rsidRPr="00D11C96">
              <w:rPr>
                <w:rFonts w:ascii="Garamond" w:hAnsi="Garamond"/>
                <w:sz w:val="16"/>
                <w:szCs w:val="16"/>
              </w:rPr>
              <w:t>0.12%</w:t>
            </w:r>
          </w:p>
        </w:tc>
      </w:tr>
      <w:tr w:rsidRPr="00D11C96" w:rsidR="00B26A81" w14:paraId="2BA177C6"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1D72749" w14:textId="77777777">
            <w:pPr>
              <w:spacing w:after="0" w:line="240" w:lineRule="auto"/>
              <w:jc w:val="both"/>
              <w:rPr>
                <w:rFonts w:ascii="Garamond" w:hAnsi="Garamond"/>
                <w:b/>
                <w:sz w:val="16"/>
                <w:szCs w:val="16"/>
              </w:rPr>
            </w:pPr>
            <w:r w:rsidRPr="00D11C96">
              <w:rPr>
                <w:rFonts w:ascii="Garamond" w:hAnsi="Garamond"/>
                <w:b/>
                <w:sz w:val="16"/>
                <w:szCs w:val="16"/>
              </w:rPr>
              <w:t>Cogua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260AE267" w14:textId="77777777">
            <w:pPr>
              <w:spacing w:after="0" w:line="240" w:lineRule="auto"/>
              <w:jc w:val="both"/>
              <w:rPr>
                <w:rFonts w:ascii="Garamond" w:hAnsi="Garamond"/>
                <w:sz w:val="16"/>
                <w:szCs w:val="16"/>
              </w:rPr>
            </w:pPr>
            <w:r w:rsidRPr="00D11C96">
              <w:rPr>
                <w:rFonts w:ascii="Garamond" w:hAnsi="Garamond"/>
                <w:sz w:val="16"/>
                <w:szCs w:val="16"/>
              </w:rPr>
              <w:t>302.8068</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0A9C5CD1" w14:textId="77777777">
            <w:pPr>
              <w:spacing w:after="0" w:line="240" w:lineRule="auto"/>
              <w:jc w:val="both"/>
              <w:rPr>
                <w:rFonts w:ascii="Garamond" w:hAnsi="Garamond"/>
                <w:sz w:val="16"/>
                <w:szCs w:val="16"/>
              </w:rPr>
            </w:pPr>
            <w:r w:rsidRPr="00D11C96">
              <w:rPr>
                <w:rFonts w:ascii="Garamond" w:hAnsi="Garamond"/>
                <w:sz w:val="16"/>
                <w:szCs w:val="16"/>
              </w:rPr>
              <w:t>2.28%</w:t>
            </w:r>
          </w:p>
        </w:tc>
      </w:tr>
      <w:tr w:rsidRPr="00D11C96" w:rsidR="00B26A81" w14:paraId="6F8F96E4"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6C7CA318" w14:textId="77777777">
            <w:pPr>
              <w:spacing w:after="0" w:line="240" w:lineRule="auto"/>
              <w:jc w:val="both"/>
              <w:rPr>
                <w:rFonts w:ascii="Garamond" w:hAnsi="Garamond"/>
                <w:b/>
                <w:sz w:val="16"/>
                <w:szCs w:val="16"/>
              </w:rPr>
            </w:pPr>
            <w:r w:rsidRPr="00D11C96">
              <w:rPr>
                <w:rFonts w:ascii="Garamond" w:hAnsi="Garamond"/>
                <w:b/>
                <w:sz w:val="16"/>
                <w:szCs w:val="16"/>
              </w:rPr>
              <w:t>Cota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489CA75" w14:textId="77777777">
            <w:pPr>
              <w:spacing w:after="0" w:line="240" w:lineRule="auto"/>
              <w:jc w:val="both"/>
              <w:rPr>
                <w:rFonts w:ascii="Garamond" w:hAnsi="Garamond"/>
                <w:sz w:val="16"/>
                <w:szCs w:val="16"/>
              </w:rPr>
            </w:pPr>
            <w:r w:rsidRPr="00D11C96">
              <w:rPr>
                <w:rFonts w:ascii="Garamond" w:hAnsi="Garamond"/>
                <w:sz w:val="16"/>
                <w:szCs w:val="16"/>
              </w:rPr>
              <w:t>1138.3634</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35288BFF" w14:textId="77777777">
            <w:pPr>
              <w:spacing w:after="0" w:line="240" w:lineRule="auto"/>
              <w:jc w:val="both"/>
              <w:rPr>
                <w:rFonts w:ascii="Garamond" w:hAnsi="Garamond"/>
                <w:sz w:val="16"/>
                <w:szCs w:val="16"/>
              </w:rPr>
            </w:pPr>
            <w:r w:rsidRPr="00D11C96">
              <w:rPr>
                <w:rFonts w:ascii="Garamond" w:hAnsi="Garamond"/>
                <w:sz w:val="16"/>
                <w:szCs w:val="16"/>
              </w:rPr>
              <w:t>21.21%</w:t>
            </w:r>
          </w:p>
        </w:tc>
      </w:tr>
      <w:tr w:rsidRPr="00D11C96" w:rsidR="00B26A81" w14:paraId="11FF1AAB"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729CA030" w14:textId="77777777">
            <w:pPr>
              <w:spacing w:after="0" w:line="240" w:lineRule="auto"/>
              <w:jc w:val="both"/>
              <w:rPr>
                <w:rFonts w:ascii="Garamond" w:hAnsi="Garamond"/>
                <w:b/>
                <w:sz w:val="16"/>
                <w:szCs w:val="16"/>
              </w:rPr>
            </w:pPr>
            <w:r w:rsidRPr="00D11C96">
              <w:rPr>
                <w:rFonts w:ascii="Garamond" w:hAnsi="Garamond"/>
                <w:b/>
                <w:sz w:val="16"/>
                <w:szCs w:val="16"/>
              </w:rPr>
              <w:t>El Rosal</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7DBA38E9" w14:textId="77777777">
            <w:pPr>
              <w:spacing w:after="0" w:line="240" w:lineRule="auto"/>
              <w:jc w:val="both"/>
              <w:rPr>
                <w:rFonts w:ascii="Garamond" w:hAnsi="Garamond"/>
                <w:sz w:val="16"/>
                <w:szCs w:val="16"/>
              </w:rPr>
            </w:pPr>
            <w:r w:rsidRPr="00D11C96">
              <w:rPr>
                <w:rFonts w:ascii="Garamond" w:hAnsi="Garamond"/>
                <w:sz w:val="16"/>
                <w:szCs w:val="16"/>
              </w:rPr>
              <w:t>52.8651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6C263D00" w14:textId="77777777">
            <w:pPr>
              <w:spacing w:after="0" w:line="240" w:lineRule="auto"/>
              <w:jc w:val="both"/>
              <w:rPr>
                <w:rFonts w:ascii="Garamond" w:hAnsi="Garamond"/>
                <w:sz w:val="16"/>
                <w:szCs w:val="16"/>
              </w:rPr>
            </w:pPr>
            <w:r w:rsidRPr="00D11C96">
              <w:rPr>
                <w:rFonts w:ascii="Garamond" w:hAnsi="Garamond"/>
                <w:sz w:val="16"/>
                <w:szCs w:val="16"/>
              </w:rPr>
              <w:t>0.77%</w:t>
            </w:r>
          </w:p>
        </w:tc>
      </w:tr>
      <w:tr w:rsidRPr="00D11C96" w:rsidR="00B26A81" w14:paraId="19220FC4"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02AEDABB" w14:textId="77777777">
            <w:pPr>
              <w:spacing w:after="0" w:line="240" w:lineRule="auto"/>
              <w:jc w:val="both"/>
              <w:rPr>
                <w:rFonts w:ascii="Garamond" w:hAnsi="Garamond"/>
                <w:b/>
                <w:sz w:val="16"/>
                <w:szCs w:val="16"/>
              </w:rPr>
            </w:pPr>
            <w:r w:rsidRPr="00D11C96">
              <w:rPr>
                <w:rFonts w:ascii="Garamond" w:hAnsi="Garamond"/>
                <w:b/>
                <w:sz w:val="16"/>
                <w:szCs w:val="16"/>
              </w:rPr>
              <w:t>Facatativá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909EBCA" w14:textId="77777777">
            <w:pPr>
              <w:spacing w:after="0" w:line="240" w:lineRule="auto"/>
              <w:jc w:val="both"/>
              <w:rPr>
                <w:rFonts w:ascii="Garamond" w:hAnsi="Garamond"/>
                <w:sz w:val="16"/>
                <w:szCs w:val="16"/>
              </w:rPr>
            </w:pPr>
            <w:r w:rsidRPr="00D11C96">
              <w:rPr>
                <w:rFonts w:ascii="Garamond" w:hAnsi="Garamond"/>
                <w:sz w:val="16"/>
                <w:szCs w:val="16"/>
              </w:rPr>
              <w:t>229.4070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CA74C2C" w14:textId="77777777">
            <w:pPr>
              <w:spacing w:after="0" w:line="240" w:lineRule="auto"/>
              <w:jc w:val="both"/>
              <w:rPr>
                <w:rFonts w:ascii="Garamond" w:hAnsi="Garamond"/>
                <w:sz w:val="16"/>
                <w:szCs w:val="16"/>
              </w:rPr>
            </w:pPr>
            <w:r w:rsidRPr="00D11C96">
              <w:rPr>
                <w:rFonts w:ascii="Garamond" w:hAnsi="Garamond"/>
                <w:sz w:val="16"/>
                <w:szCs w:val="16"/>
              </w:rPr>
              <w:t>1.48%</w:t>
            </w:r>
          </w:p>
        </w:tc>
      </w:tr>
      <w:tr w:rsidRPr="00D11C96" w:rsidR="00B26A81" w14:paraId="1ED6A38F"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4AC389F3" w14:textId="77777777">
            <w:pPr>
              <w:spacing w:after="0" w:line="240" w:lineRule="auto"/>
              <w:jc w:val="both"/>
              <w:rPr>
                <w:rFonts w:ascii="Garamond" w:hAnsi="Garamond"/>
                <w:b/>
                <w:sz w:val="16"/>
                <w:szCs w:val="16"/>
              </w:rPr>
            </w:pPr>
            <w:r w:rsidRPr="00D11C96">
              <w:rPr>
                <w:rFonts w:ascii="Garamond" w:hAnsi="Garamond"/>
                <w:b/>
                <w:sz w:val="16"/>
                <w:szCs w:val="16"/>
              </w:rPr>
              <w:t>Funza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4A900E83" w14:textId="77777777">
            <w:pPr>
              <w:spacing w:after="0" w:line="240" w:lineRule="auto"/>
              <w:jc w:val="both"/>
              <w:rPr>
                <w:rFonts w:ascii="Garamond" w:hAnsi="Garamond"/>
                <w:sz w:val="16"/>
                <w:szCs w:val="16"/>
              </w:rPr>
            </w:pPr>
            <w:r w:rsidRPr="00D11C96">
              <w:rPr>
                <w:rFonts w:ascii="Garamond" w:hAnsi="Garamond"/>
                <w:sz w:val="16"/>
                <w:szCs w:val="16"/>
              </w:rPr>
              <w:t>887.5010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3898C43" w14:textId="77777777">
            <w:pPr>
              <w:spacing w:after="0" w:line="240" w:lineRule="auto"/>
              <w:jc w:val="both"/>
              <w:rPr>
                <w:rFonts w:ascii="Garamond" w:hAnsi="Garamond"/>
                <w:sz w:val="16"/>
                <w:szCs w:val="16"/>
              </w:rPr>
            </w:pPr>
            <w:r w:rsidRPr="00D11C96">
              <w:rPr>
                <w:rFonts w:ascii="Garamond" w:hAnsi="Garamond"/>
                <w:sz w:val="16"/>
                <w:szCs w:val="16"/>
              </w:rPr>
              <w:t>12.68%</w:t>
            </w:r>
          </w:p>
        </w:tc>
      </w:tr>
      <w:tr w:rsidRPr="00D11C96" w:rsidR="00B26A81" w14:paraId="3DB8574C"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2B4D67C9" w14:textId="77777777">
            <w:pPr>
              <w:spacing w:after="0" w:line="240" w:lineRule="auto"/>
              <w:jc w:val="both"/>
              <w:rPr>
                <w:rFonts w:ascii="Garamond" w:hAnsi="Garamond"/>
                <w:b/>
                <w:sz w:val="16"/>
                <w:szCs w:val="16"/>
              </w:rPr>
            </w:pPr>
            <w:r w:rsidRPr="00D11C96">
              <w:rPr>
                <w:rFonts w:ascii="Garamond" w:hAnsi="Garamond"/>
                <w:b/>
                <w:sz w:val="16"/>
                <w:szCs w:val="16"/>
              </w:rPr>
              <w:t>Gachancipá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539364C2" w14:textId="77777777">
            <w:pPr>
              <w:spacing w:after="0" w:line="240" w:lineRule="auto"/>
              <w:jc w:val="both"/>
              <w:rPr>
                <w:rFonts w:ascii="Garamond" w:hAnsi="Garamond"/>
                <w:sz w:val="16"/>
                <w:szCs w:val="16"/>
              </w:rPr>
            </w:pPr>
            <w:r w:rsidRPr="00D11C96">
              <w:rPr>
                <w:rFonts w:ascii="Garamond" w:hAnsi="Garamond"/>
                <w:sz w:val="16"/>
                <w:szCs w:val="16"/>
              </w:rPr>
              <w:t>103.2841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88D3F0A" w14:textId="77777777">
            <w:pPr>
              <w:spacing w:after="0" w:line="240" w:lineRule="auto"/>
              <w:jc w:val="both"/>
              <w:rPr>
                <w:rFonts w:ascii="Garamond" w:hAnsi="Garamond"/>
                <w:sz w:val="16"/>
                <w:szCs w:val="16"/>
              </w:rPr>
            </w:pPr>
            <w:r w:rsidRPr="00D11C96">
              <w:rPr>
                <w:rFonts w:ascii="Garamond" w:hAnsi="Garamond"/>
                <w:sz w:val="16"/>
                <w:szCs w:val="16"/>
              </w:rPr>
              <w:t>2.41%</w:t>
            </w:r>
          </w:p>
        </w:tc>
      </w:tr>
      <w:tr w:rsidRPr="00D11C96" w:rsidR="00B26A81" w14:paraId="0C9F8A97"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63F9D154" w14:textId="77777777">
            <w:pPr>
              <w:spacing w:after="0" w:line="240" w:lineRule="auto"/>
              <w:jc w:val="both"/>
              <w:rPr>
                <w:rFonts w:ascii="Garamond" w:hAnsi="Garamond"/>
                <w:b/>
                <w:sz w:val="16"/>
                <w:szCs w:val="16"/>
              </w:rPr>
            </w:pPr>
            <w:r w:rsidRPr="00D11C96">
              <w:rPr>
                <w:rFonts w:ascii="Garamond" w:hAnsi="Garamond"/>
                <w:b/>
                <w:sz w:val="16"/>
                <w:szCs w:val="16"/>
              </w:rPr>
              <w:t>Guasca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1E071BD" w14:textId="77777777">
            <w:pPr>
              <w:spacing w:after="0" w:line="240" w:lineRule="auto"/>
              <w:jc w:val="both"/>
              <w:rPr>
                <w:rFonts w:ascii="Garamond" w:hAnsi="Garamond"/>
                <w:sz w:val="16"/>
                <w:szCs w:val="16"/>
              </w:rPr>
            </w:pPr>
            <w:r w:rsidRPr="00D11C96">
              <w:rPr>
                <w:rFonts w:ascii="Garamond" w:hAnsi="Garamond"/>
                <w:sz w:val="16"/>
                <w:szCs w:val="16"/>
              </w:rPr>
              <w:t>40.5099</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A781A8E" w14:textId="77777777">
            <w:pPr>
              <w:spacing w:after="0" w:line="240" w:lineRule="auto"/>
              <w:jc w:val="both"/>
              <w:rPr>
                <w:rFonts w:ascii="Garamond" w:hAnsi="Garamond"/>
                <w:sz w:val="16"/>
                <w:szCs w:val="16"/>
              </w:rPr>
            </w:pPr>
            <w:r w:rsidRPr="00D11C96">
              <w:rPr>
                <w:rFonts w:ascii="Garamond" w:hAnsi="Garamond"/>
                <w:sz w:val="16"/>
                <w:szCs w:val="16"/>
              </w:rPr>
              <w:t>0.19%</w:t>
            </w:r>
          </w:p>
        </w:tc>
      </w:tr>
      <w:tr w:rsidRPr="00D11C96" w:rsidR="00B26A81" w14:paraId="656D6E64"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5F947488" w14:textId="77777777">
            <w:pPr>
              <w:spacing w:after="0" w:line="240" w:lineRule="auto"/>
              <w:jc w:val="both"/>
              <w:rPr>
                <w:rFonts w:ascii="Garamond" w:hAnsi="Garamond"/>
                <w:b/>
                <w:sz w:val="16"/>
                <w:szCs w:val="16"/>
              </w:rPr>
            </w:pPr>
            <w:r w:rsidRPr="00D11C96">
              <w:rPr>
                <w:rFonts w:ascii="Garamond" w:hAnsi="Garamond"/>
                <w:b/>
                <w:sz w:val="16"/>
                <w:szCs w:val="16"/>
              </w:rPr>
              <w:t>Guatavita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5D476FA7" w14:textId="77777777">
            <w:pPr>
              <w:spacing w:after="0" w:line="240" w:lineRule="auto"/>
              <w:jc w:val="both"/>
              <w:rPr>
                <w:rFonts w:ascii="Garamond" w:hAnsi="Garamond"/>
                <w:sz w:val="16"/>
                <w:szCs w:val="16"/>
              </w:rPr>
            </w:pPr>
            <w:r w:rsidRPr="00D11C96">
              <w:rPr>
                <w:rFonts w:ascii="Garamond" w:hAnsi="Garamond"/>
                <w:sz w:val="16"/>
                <w:szCs w:val="16"/>
              </w:rPr>
              <w:t>4.5009</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893493D" w14:textId="77777777">
            <w:pPr>
              <w:spacing w:after="0" w:line="240" w:lineRule="auto"/>
              <w:jc w:val="both"/>
              <w:rPr>
                <w:rFonts w:ascii="Garamond" w:hAnsi="Garamond"/>
                <w:sz w:val="16"/>
                <w:szCs w:val="16"/>
              </w:rPr>
            </w:pPr>
            <w:r w:rsidRPr="00D11C96">
              <w:rPr>
                <w:rFonts w:ascii="Garamond" w:hAnsi="Garamond"/>
                <w:sz w:val="16"/>
                <w:szCs w:val="16"/>
              </w:rPr>
              <w:t>0.03%</w:t>
            </w:r>
          </w:p>
        </w:tc>
      </w:tr>
      <w:tr w:rsidRPr="00D11C96" w:rsidR="00B26A81" w14:paraId="3FA9E739"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230EC3D" w14:textId="77777777">
            <w:pPr>
              <w:spacing w:after="0" w:line="240" w:lineRule="auto"/>
              <w:jc w:val="both"/>
              <w:rPr>
                <w:rFonts w:ascii="Garamond" w:hAnsi="Garamond"/>
                <w:b/>
                <w:sz w:val="16"/>
                <w:szCs w:val="16"/>
              </w:rPr>
            </w:pPr>
            <w:r w:rsidRPr="00D11C96">
              <w:rPr>
                <w:rFonts w:ascii="Garamond" w:hAnsi="Garamond"/>
                <w:b/>
                <w:sz w:val="16"/>
                <w:szCs w:val="16"/>
              </w:rPr>
              <w:t>La Calera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19E3A7F2" w14:textId="77777777">
            <w:pPr>
              <w:spacing w:after="0" w:line="240" w:lineRule="auto"/>
              <w:jc w:val="both"/>
              <w:rPr>
                <w:rFonts w:ascii="Garamond" w:hAnsi="Garamond"/>
                <w:sz w:val="16"/>
                <w:szCs w:val="16"/>
              </w:rPr>
            </w:pPr>
            <w:r w:rsidRPr="00D11C96">
              <w:rPr>
                <w:rFonts w:ascii="Garamond" w:hAnsi="Garamond"/>
                <w:sz w:val="16"/>
                <w:szCs w:val="16"/>
              </w:rPr>
              <w:t>353.1462</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4DAEA2D7" w14:textId="77777777">
            <w:pPr>
              <w:spacing w:after="0" w:line="240" w:lineRule="auto"/>
              <w:jc w:val="both"/>
              <w:rPr>
                <w:rFonts w:ascii="Garamond" w:hAnsi="Garamond"/>
                <w:sz w:val="16"/>
                <w:szCs w:val="16"/>
              </w:rPr>
            </w:pPr>
            <w:r w:rsidRPr="00D11C96">
              <w:rPr>
                <w:rFonts w:ascii="Garamond" w:hAnsi="Garamond"/>
                <w:sz w:val="16"/>
                <w:szCs w:val="16"/>
              </w:rPr>
              <w:t>1.88%</w:t>
            </w:r>
          </w:p>
        </w:tc>
      </w:tr>
      <w:tr w:rsidRPr="00D11C96" w:rsidR="00B26A81" w14:paraId="7DAD0CC2"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74185CBB" w14:textId="77777777">
            <w:pPr>
              <w:spacing w:after="0" w:line="240" w:lineRule="auto"/>
              <w:jc w:val="both"/>
              <w:rPr>
                <w:rFonts w:ascii="Garamond" w:hAnsi="Garamond"/>
                <w:b/>
                <w:sz w:val="16"/>
                <w:szCs w:val="16"/>
              </w:rPr>
            </w:pPr>
            <w:r w:rsidRPr="00D11C96">
              <w:rPr>
                <w:rFonts w:ascii="Garamond" w:hAnsi="Garamond"/>
                <w:b/>
                <w:sz w:val="16"/>
                <w:szCs w:val="16"/>
              </w:rPr>
              <w:t>Madrid</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65AA68C5" w14:textId="77777777">
            <w:pPr>
              <w:spacing w:after="0" w:line="240" w:lineRule="auto"/>
              <w:jc w:val="both"/>
              <w:rPr>
                <w:rFonts w:ascii="Garamond" w:hAnsi="Garamond"/>
                <w:sz w:val="16"/>
                <w:szCs w:val="16"/>
              </w:rPr>
            </w:pPr>
            <w:r w:rsidRPr="00D11C96">
              <w:rPr>
                <w:rFonts w:ascii="Garamond" w:hAnsi="Garamond"/>
                <w:sz w:val="16"/>
                <w:szCs w:val="16"/>
              </w:rPr>
              <w:t>477.1861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5822AB4" w14:textId="77777777">
            <w:pPr>
              <w:spacing w:after="0" w:line="240" w:lineRule="auto"/>
              <w:jc w:val="both"/>
              <w:rPr>
                <w:rFonts w:ascii="Garamond" w:hAnsi="Garamond"/>
                <w:sz w:val="16"/>
                <w:szCs w:val="16"/>
              </w:rPr>
            </w:pPr>
            <w:r w:rsidRPr="00D11C96">
              <w:rPr>
                <w:rFonts w:ascii="Garamond" w:hAnsi="Garamond"/>
                <w:sz w:val="16"/>
                <w:szCs w:val="16"/>
              </w:rPr>
              <w:t>4.00%</w:t>
            </w:r>
          </w:p>
        </w:tc>
      </w:tr>
      <w:tr w:rsidRPr="00D11C96" w:rsidR="00B26A81" w14:paraId="2C5799EF"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72CF78B7" w14:textId="77777777">
            <w:pPr>
              <w:spacing w:after="0" w:line="240" w:lineRule="auto"/>
              <w:jc w:val="both"/>
              <w:rPr>
                <w:rFonts w:ascii="Garamond" w:hAnsi="Garamond"/>
                <w:b/>
                <w:sz w:val="16"/>
                <w:szCs w:val="16"/>
              </w:rPr>
            </w:pPr>
            <w:r w:rsidRPr="00D11C96">
              <w:rPr>
                <w:rFonts w:ascii="Garamond" w:hAnsi="Garamond"/>
                <w:b/>
                <w:sz w:val="16"/>
                <w:szCs w:val="16"/>
              </w:rPr>
              <w:t>Mosquera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1C5709A1" w14:textId="77777777">
            <w:pPr>
              <w:spacing w:after="0" w:line="240" w:lineRule="auto"/>
              <w:jc w:val="both"/>
              <w:rPr>
                <w:rFonts w:ascii="Garamond" w:hAnsi="Garamond"/>
                <w:sz w:val="16"/>
                <w:szCs w:val="16"/>
              </w:rPr>
            </w:pPr>
            <w:r w:rsidRPr="00D11C96">
              <w:rPr>
                <w:rFonts w:ascii="Garamond" w:hAnsi="Garamond"/>
                <w:sz w:val="16"/>
                <w:szCs w:val="16"/>
              </w:rPr>
              <w:t>993.5583</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21936C9" w14:textId="77777777">
            <w:pPr>
              <w:spacing w:after="0" w:line="240" w:lineRule="auto"/>
              <w:jc w:val="both"/>
              <w:rPr>
                <w:rFonts w:ascii="Garamond" w:hAnsi="Garamond"/>
                <w:sz w:val="16"/>
                <w:szCs w:val="16"/>
              </w:rPr>
            </w:pPr>
            <w:r w:rsidRPr="00D11C96">
              <w:rPr>
                <w:rFonts w:ascii="Garamond" w:hAnsi="Garamond"/>
                <w:sz w:val="16"/>
                <w:szCs w:val="16"/>
              </w:rPr>
              <w:t>9.37%</w:t>
            </w:r>
          </w:p>
        </w:tc>
      </w:tr>
      <w:tr w:rsidRPr="00D11C96" w:rsidR="00B26A81" w14:paraId="0ACB7A71"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7B9224B" w14:textId="77777777">
            <w:pPr>
              <w:spacing w:after="0" w:line="240" w:lineRule="auto"/>
              <w:jc w:val="both"/>
              <w:rPr>
                <w:rFonts w:ascii="Garamond" w:hAnsi="Garamond"/>
                <w:b/>
                <w:sz w:val="16"/>
                <w:szCs w:val="16"/>
              </w:rPr>
            </w:pPr>
            <w:r w:rsidRPr="00D11C96">
              <w:rPr>
                <w:rFonts w:ascii="Garamond" w:hAnsi="Garamond"/>
                <w:b/>
                <w:sz w:val="16"/>
                <w:szCs w:val="16"/>
              </w:rPr>
              <w:t>Nemocón</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54656120" w14:textId="77777777">
            <w:pPr>
              <w:spacing w:after="0" w:line="240" w:lineRule="auto"/>
              <w:jc w:val="both"/>
              <w:rPr>
                <w:rFonts w:ascii="Garamond" w:hAnsi="Garamond"/>
                <w:sz w:val="16"/>
                <w:szCs w:val="16"/>
              </w:rPr>
            </w:pPr>
            <w:r w:rsidRPr="00D11C96">
              <w:rPr>
                <w:rFonts w:ascii="Garamond" w:hAnsi="Garamond"/>
                <w:sz w:val="16"/>
                <w:szCs w:val="16"/>
              </w:rPr>
              <w:t>46.9279</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04BE636" w14:textId="77777777">
            <w:pPr>
              <w:spacing w:after="0" w:line="240" w:lineRule="auto"/>
              <w:jc w:val="both"/>
              <w:rPr>
                <w:rFonts w:ascii="Garamond" w:hAnsi="Garamond"/>
                <w:sz w:val="16"/>
                <w:szCs w:val="16"/>
              </w:rPr>
            </w:pPr>
            <w:r w:rsidRPr="00D11C96">
              <w:rPr>
                <w:rFonts w:ascii="Garamond" w:hAnsi="Garamond"/>
                <w:sz w:val="16"/>
                <w:szCs w:val="16"/>
              </w:rPr>
              <w:t>0.48%</w:t>
            </w:r>
          </w:p>
        </w:tc>
      </w:tr>
      <w:tr w:rsidRPr="00D11C96" w:rsidR="00B26A81" w14:paraId="35C7127F"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B24E5D7" w14:textId="77777777">
            <w:pPr>
              <w:spacing w:after="0" w:line="240" w:lineRule="auto"/>
              <w:jc w:val="both"/>
              <w:rPr>
                <w:rFonts w:ascii="Garamond" w:hAnsi="Garamond"/>
                <w:b/>
                <w:sz w:val="16"/>
                <w:szCs w:val="16"/>
              </w:rPr>
            </w:pPr>
            <w:r w:rsidRPr="00D11C96">
              <w:rPr>
                <w:rFonts w:ascii="Garamond" w:hAnsi="Garamond"/>
                <w:b/>
                <w:sz w:val="16"/>
                <w:szCs w:val="16"/>
              </w:rPr>
              <w:t>Sesquilé</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11924A11" w14:textId="77777777">
            <w:pPr>
              <w:spacing w:after="0" w:line="240" w:lineRule="auto"/>
              <w:jc w:val="both"/>
              <w:rPr>
                <w:rFonts w:ascii="Garamond" w:hAnsi="Garamond"/>
                <w:sz w:val="16"/>
                <w:szCs w:val="16"/>
              </w:rPr>
            </w:pPr>
            <w:r w:rsidRPr="00D11C96">
              <w:rPr>
                <w:rFonts w:ascii="Garamond" w:hAnsi="Garamond"/>
                <w:sz w:val="16"/>
                <w:szCs w:val="16"/>
              </w:rPr>
              <w:t>51.0892</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3430234D" w14:textId="77777777">
            <w:pPr>
              <w:spacing w:after="0" w:line="240" w:lineRule="auto"/>
              <w:jc w:val="both"/>
              <w:rPr>
                <w:rFonts w:ascii="Garamond" w:hAnsi="Garamond"/>
                <w:sz w:val="16"/>
                <w:szCs w:val="16"/>
              </w:rPr>
            </w:pPr>
            <w:r w:rsidRPr="00D11C96">
              <w:rPr>
                <w:rFonts w:ascii="Garamond" w:hAnsi="Garamond"/>
                <w:sz w:val="16"/>
                <w:szCs w:val="16"/>
              </w:rPr>
              <w:t>0.36%</w:t>
            </w:r>
          </w:p>
        </w:tc>
      </w:tr>
      <w:tr w:rsidRPr="00D11C96" w:rsidR="00B26A81" w14:paraId="05ED808E"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11D5D97" w14:textId="77777777">
            <w:pPr>
              <w:spacing w:after="0" w:line="240" w:lineRule="auto"/>
              <w:jc w:val="both"/>
              <w:rPr>
                <w:rFonts w:ascii="Garamond" w:hAnsi="Garamond"/>
                <w:b/>
                <w:sz w:val="16"/>
                <w:szCs w:val="16"/>
              </w:rPr>
            </w:pPr>
            <w:r w:rsidRPr="00D11C96">
              <w:rPr>
                <w:rFonts w:ascii="Garamond" w:hAnsi="Garamond"/>
                <w:b/>
                <w:sz w:val="16"/>
                <w:szCs w:val="16"/>
              </w:rPr>
              <w:t>Sibaté</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4E9C4052" w14:textId="77777777">
            <w:pPr>
              <w:spacing w:after="0" w:line="240" w:lineRule="auto"/>
              <w:jc w:val="both"/>
              <w:rPr>
                <w:rFonts w:ascii="Garamond" w:hAnsi="Garamond"/>
                <w:sz w:val="16"/>
                <w:szCs w:val="16"/>
              </w:rPr>
            </w:pPr>
            <w:r w:rsidRPr="00D11C96">
              <w:rPr>
                <w:rFonts w:ascii="Garamond" w:hAnsi="Garamond"/>
                <w:sz w:val="16"/>
                <w:szCs w:val="16"/>
              </w:rPr>
              <w:t>141.4170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B5C7B27" w14:textId="77777777">
            <w:pPr>
              <w:spacing w:after="0" w:line="240" w:lineRule="auto"/>
              <w:jc w:val="both"/>
              <w:rPr>
                <w:rFonts w:ascii="Garamond" w:hAnsi="Garamond"/>
                <w:sz w:val="16"/>
                <w:szCs w:val="16"/>
              </w:rPr>
            </w:pPr>
            <w:r w:rsidRPr="00D11C96">
              <w:rPr>
                <w:rFonts w:ascii="Garamond" w:hAnsi="Garamond"/>
                <w:sz w:val="16"/>
                <w:szCs w:val="16"/>
              </w:rPr>
              <w:t>1.49%</w:t>
            </w:r>
          </w:p>
        </w:tc>
      </w:tr>
      <w:tr w:rsidRPr="00D11C96" w:rsidR="00B26A81" w14:paraId="30EA7DAE"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036984F5" w14:textId="77777777">
            <w:pPr>
              <w:spacing w:after="0" w:line="240" w:lineRule="auto"/>
              <w:jc w:val="both"/>
              <w:rPr>
                <w:rFonts w:ascii="Garamond" w:hAnsi="Garamond"/>
                <w:b/>
                <w:sz w:val="16"/>
                <w:szCs w:val="16"/>
              </w:rPr>
            </w:pPr>
            <w:r w:rsidRPr="00D11C96">
              <w:rPr>
                <w:rFonts w:ascii="Garamond" w:hAnsi="Garamond"/>
                <w:b/>
                <w:sz w:val="16"/>
                <w:szCs w:val="16"/>
              </w:rPr>
              <w:t>Soacha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21E556B" w14:textId="77777777">
            <w:pPr>
              <w:spacing w:after="0" w:line="240" w:lineRule="auto"/>
              <w:jc w:val="both"/>
              <w:rPr>
                <w:rFonts w:ascii="Garamond" w:hAnsi="Garamond"/>
                <w:sz w:val="16"/>
                <w:szCs w:val="16"/>
              </w:rPr>
            </w:pPr>
            <w:r w:rsidRPr="00D11C96">
              <w:rPr>
                <w:rFonts w:ascii="Garamond" w:hAnsi="Garamond"/>
                <w:sz w:val="16"/>
                <w:szCs w:val="16"/>
              </w:rPr>
              <w:t>774.8606</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60BF9601" w14:textId="77777777">
            <w:pPr>
              <w:spacing w:after="0" w:line="240" w:lineRule="auto"/>
              <w:jc w:val="both"/>
              <w:rPr>
                <w:rFonts w:ascii="Garamond" w:hAnsi="Garamond"/>
                <w:sz w:val="16"/>
                <w:szCs w:val="16"/>
              </w:rPr>
            </w:pPr>
            <w:r w:rsidRPr="00D11C96">
              <w:rPr>
                <w:rFonts w:ascii="Garamond" w:hAnsi="Garamond"/>
                <w:sz w:val="16"/>
                <w:szCs w:val="16"/>
              </w:rPr>
              <w:t>4.38%</w:t>
            </w:r>
          </w:p>
        </w:tc>
      </w:tr>
      <w:tr w:rsidRPr="00D11C96" w:rsidR="00B26A81" w14:paraId="6F2A8DD1"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2EE45A79" w14:textId="77777777">
            <w:pPr>
              <w:spacing w:after="0" w:line="240" w:lineRule="auto"/>
              <w:jc w:val="both"/>
              <w:rPr>
                <w:rFonts w:ascii="Garamond" w:hAnsi="Garamond"/>
                <w:b/>
                <w:sz w:val="16"/>
                <w:szCs w:val="16"/>
              </w:rPr>
            </w:pPr>
            <w:r w:rsidRPr="00D11C96">
              <w:rPr>
                <w:rFonts w:ascii="Garamond" w:hAnsi="Garamond"/>
                <w:b/>
                <w:sz w:val="16"/>
                <w:szCs w:val="16"/>
              </w:rPr>
              <w:t>Sopó</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096F9AC5" w14:textId="77777777">
            <w:pPr>
              <w:spacing w:after="0" w:line="240" w:lineRule="auto"/>
              <w:jc w:val="both"/>
              <w:rPr>
                <w:rFonts w:ascii="Garamond" w:hAnsi="Garamond"/>
                <w:sz w:val="16"/>
                <w:szCs w:val="16"/>
              </w:rPr>
            </w:pPr>
            <w:r w:rsidRPr="00D11C96">
              <w:rPr>
                <w:rFonts w:ascii="Garamond" w:hAnsi="Garamond"/>
                <w:sz w:val="16"/>
                <w:szCs w:val="16"/>
              </w:rPr>
              <w:t>543.5781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9911DA2" w14:textId="77777777">
            <w:pPr>
              <w:spacing w:after="0" w:line="240" w:lineRule="auto"/>
              <w:jc w:val="both"/>
              <w:rPr>
                <w:rFonts w:ascii="Garamond" w:hAnsi="Garamond"/>
                <w:sz w:val="16"/>
                <w:szCs w:val="16"/>
              </w:rPr>
            </w:pPr>
            <w:r w:rsidRPr="00D11C96">
              <w:rPr>
                <w:rFonts w:ascii="Garamond" w:hAnsi="Garamond"/>
                <w:sz w:val="16"/>
                <w:szCs w:val="16"/>
              </w:rPr>
              <w:t>4.90%</w:t>
            </w:r>
          </w:p>
        </w:tc>
      </w:tr>
      <w:tr w:rsidRPr="00D11C96" w:rsidR="00B26A81" w14:paraId="6DE2EDDD"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4E8F6D15" w14:textId="77777777">
            <w:pPr>
              <w:spacing w:after="0" w:line="240" w:lineRule="auto"/>
              <w:jc w:val="both"/>
              <w:rPr>
                <w:rFonts w:ascii="Garamond" w:hAnsi="Garamond"/>
                <w:b/>
                <w:sz w:val="16"/>
                <w:szCs w:val="16"/>
              </w:rPr>
            </w:pPr>
            <w:r w:rsidRPr="00D11C96">
              <w:rPr>
                <w:rFonts w:ascii="Garamond" w:hAnsi="Garamond"/>
                <w:b/>
                <w:sz w:val="16"/>
                <w:szCs w:val="16"/>
              </w:rPr>
              <w:t>Subachoque</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6F5896AB" w14:textId="77777777">
            <w:pPr>
              <w:spacing w:after="0" w:line="240" w:lineRule="auto"/>
              <w:jc w:val="both"/>
              <w:rPr>
                <w:rFonts w:ascii="Garamond" w:hAnsi="Garamond"/>
                <w:sz w:val="16"/>
                <w:szCs w:val="16"/>
              </w:rPr>
            </w:pPr>
            <w:r w:rsidRPr="00D11C96">
              <w:rPr>
                <w:rFonts w:ascii="Garamond" w:hAnsi="Garamond"/>
                <w:sz w:val="16"/>
                <w:szCs w:val="16"/>
              </w:rPr>
              <w:t>30.5200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3499085F" w14:textId="77777777">
            <w:pPr>
              <w:spacing w:after="0" w:line="240" w:lineRule="auto"/>
              <w:jc w:val="both"/>
              <w:rPr>
                <w:rFonts w:ascii="Garamond" w:hAnsi="Garamond"/>
                <w:sz w:val="16"/>
                <w:szCs w:val="16"/>
              </w:rPr>
            </w:pPr>
            <w:r w:rsidRPr="00D11C96">
              <w:rPr>
                <w:rFonts w:ascii="Garamond" w:hAnsi="Garamond"/>
                <w:sz w:val="16"/>
                <w:szCs w:val="16"/>
              </w:rPr>
              <w:t>0.16%</w:t>
            </w:r>
          </w:p>
        </w:tc>
      </w:tr>
      <w:tr w:rsidRPr="00D11C96" w:rsidR="00B26A81" w14:paraId="3D8FEAED"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5CC30D2" w14:textId="77777777">
            <w:pPr>
              <w:spacing w:after="0" w:line="240" w:lineRule="auto"/>
              <w:jc w:val="both"/>
              <w:rPr>
                <w:rFonts w:ascii="Garamond" w:hAnsi="Garamond"/>
                <w:b/>
                <w:sz w:val="16"/>
                <w:szCs w:val="16"/>
              </w:rPr>
            </w:pPr>
            <w:r w:rsidRPr="00D11C96">
              <w:rPr>
                <w:rFonts w:ascii="Garamond" w:hAnsi="Garamond"/>
                <w:b/>
                <w:sz w:val="16"/>
                <w:szCs w:val="16"/>
              </w:rPr>
              <w:t>Suesca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7579B3BD" w14:textId="77777777">
            <w:pPr>
              <w:spacing w:after="0" w:line="240" w:lineRule="auto"/>
              <w:jc w:val="both"/>
              <w:rPr>
                <w:rFonts w:ascii="Garamond" w:hAnsi="Garamond"/>
                <w:sz w:val="16"/>
                <w:szCs w:val="16"/>
              </w:rPr>
            </w:pPr>
            <w:r w:rsidRPr="00D11C96">
              <w:rPr>
                <w:rFonts w:ascii="Garamond" w:hAnsi="Garamond"/>
                <w:sz w:val="16"/>
                <w:szCs w:val="16"/>
              </w:rPr>
              <w:t>50.1217</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8F1567D" w14:textId="77777777">
            <w:pPr>
              <w:spacing w:after="0" w:line="240" w:lineRule="auto"/>
              <w:jc w:val="both"/>
              <w:rPr>
                <w:rFonts w:ascii="Garamond" w:hAnsi="Garamond"/>
                <w:sz w:val="16"/>
                <w:szCs w:val="16"/>
              </w:rPr>
            </w:pPr>
            <w:r w:rsidRPr="00D11C96">
              <w:rPr>
                <w:rFonts w:ascii="Garamond" w:hAnsi="Garamond"/>
                <w:sz w:val="16"/>
                <w:szCs w:val="16"/>
              </w:rPr>
              <w:t>0.44%</w:t>
            </w:r>
          </w:p>
        </w:tc>
      </w:tr>
      <w:tr w:rsidRPr="00D11C96" w:rsidR="00B26A81" w14:paraId="77485E8C"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5534670E" w14:textId="77777777">
            <w:pPr>
              <w:spacing w:after="0" w:line="240" w:lineRule="auto"/>
              <w:jc w:val="both"/>
              <w:rPr>
                <w:rFonts w:ascii="Garamond" w:hAnsi="Garamond"/>
                <w:b/>
                <w:sz w:val="16"/>
                <w:szCs w:val="16"/>
              </w:rPr>
            </w:pPr>
            <w:r w:rsidRPr="00D11C96">
              <w:rPr>
                <w:rFonts w:ascii="Garamond" w:hAnsi="Garamond"/>
                <w:b/>
                <w:sz w:val="16"/>
                <w:szCs w:val="16"/>
              </w:rPr>
              <w:t>Tabio</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56625F93" w14:textId="77777777">
            <w:pPr>
              <w:spacing w:after="0" w:line="240" w:lineRule="auto"/>
              <w:jc w:val="both"/>
              <w:rPr>
                <w:rFonts w:ascii="Garamond" w:hAnsi="Garamond"/>
                <w:sz w:val="16"/>
                <w:szCs w:val="16"/>
              </w:rPr>
            </w:pPr>
            <w:r w:rsidRPr="00D11C96">
              <w:rPr>
                <w:rFonts w:ascii="Garamond" w:hAnsi="Garamond"/>
                <w:sz w:val="16"/>
                <w:szCs w:val="16"/>
              </w:rPr>
              <w:t>180.9316</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6F95BED" w14:textId="77777777">
            <w:pPr>
              <w:spacing w:after="0" w:line="240" w:lineRule="auto"/>
              <w:jc w:val="both"/>
              <w:rPr>
                <w:rFonts w:ascii="Garamond" w:hAnsi="Garamond"/>
                <w:sz w:val="16"/>
                <w:szCs w:val="16"/>
              </w:rPr>
            </w:pPr>
            <w:r w:rsidRPr="00D11C96">
              <w:rPr>
                <w:rFonts w:ascii="Garamond" w:hAnsi="Garamond"/>
                <w:sz w:val="16"/>
                <w:szCs w:val="16"/>
              </w:rPr>
              <w:t>2.41%</w:t>
            </w:r>
          </w:p>
        </w:tc>
      </w:tr>
      <w:tr w:rsidRPr="00D11C96" w:rsidR="00B26A81" w14:paraId="20351B92"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2E601DB1" w14:textId="77777777">
            <w:pPr>
              <w:spacing w:after="0" w:line="240" w:lineRule="auto"/>
              <w:jc w:val="both"/>
              <w:rPr>
                <w:rFonts w:ascii="Garamond" w:hAnsi="Garamond"/>
                <w:b/>
                <w:sz w:val="16"/>
                <w:szCs w:val="16"/>
              </w:rPr>
            </w:pPr>
            <w:r w:rsidRPr="00D11C96">
              <w:rPr>
                <w:rFonts w:ascii="Garamond" w:hAnsi="Garamond"/>
                <w:b/>
                <w:sz w:val="16"/>
                <w:szCs w:val="16"/>
              </w:rPr>
              <w:t>Tausa</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385FDA74" w14:textId="77777777">
            <w:pPr>
              <w:spacing w:after="0" w:line="240" w:lineRule="auto"/>
              <w:jc w:val="both"/>
              <w:rPr>
                <w:rFonts w:ascii="Garamond" w:hAnsi="Garamond"/>
                <w:sz w:val="16"/>
                <w:szCs w:val="16"/>
              </w:rPr>
            </w:pPr>
            <w:r w:rsidRPr="00D11C96">
              <w:rPr>
                <w:rFonts w:ascii="Garamond" w:hAnsi="Garamond"/>
                <w:sz w:val="16"/>
                <w:szCs w:val="16"/>
              </w:rPr>
              <w:t>7.9448</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04C7519" w14:textId="77777777">
            <w:pPr>
              <w:spacing w:after="0" w:line="240" w:lineRule="auto"/>
              <w:jc w:val="both"/>
              <w:rPr>
                <w:rFonts w:ascii="Garamond" w:hAnsi="Garamond"/>
                <w:sz w:val="16"/>
                <w:szCs w:val="16"/>
              </w:rPr>
            </w:pPr>
            <w:r w:rsidRPr="00D11C96">
              <w:rPr>
                <w:rFonts w:ascii="Garamond" w:hAnsi="Garamond"/>
                <w:sz w:val="16"/>
                <w:szCs w:val="16"/>
              </w:rPr>
              <w:t>0.06%</w:t>
            </w:r>
          </w:p>
        </w:tc>
      </w:tr>
      <w:tr w:rsidRPr="00D11C96" w:rsidR="00B26A81" w14:paraId="2E6EEE7D"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06F8190" w14:textId="77777777">
            <w:pPr>
              <w:spacing w:after="0" w:line="240" w:lineRule="auto"/>
              <w:jc w:val="both"/>
              <w:rPr>
                <w:rFonts w:ascii="Garamond" w:hAnsi="Garamond"/>
                <w:b/>
                <w:sz w:val="16"/>
                <w:szCs w:val="16"/>
              </w:rPr>
            </w:pPr>
            <w:r w:rsidRPr="00D11C96">
              <w:rPr>
                <w:rFonts w:ascii="Garamond" w:hAnsi="Garamond"/>
                <w:b/>
                <w:sz w:val="16"/>
                <w:szCs w:val="16"/>
              </w:rPr>
              <w:t>Tenjo</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40CA3CC4" w14:textId="77777777">
            <w:pPr>
              <w:spacing w:after="0" w:line="240" w:lineRule="auto"/>
              <w:jc w:val="both"/>
              <w:rPr>
                <w:rFonts w:ascii="Garamond" w:hAnsi="Garamond"/>
                <w:sz w:val="16"/>
                <w:szCs w:val="16"/>
              </w:rPr>
            </w:pPr>
            <w:r w:rsidRPr="00D11C96">
              <w:rPr>
                <w:rFonts w:ascii="Garamond" w:hAnsi="Garamond"/>
                <w:sz w:val="16"/>
                <w:szCs w:val="16"/>
              </w:rPr>
              <w:t>298.3951</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298A01AC" w14:textId="77777777">
            <w:pPr>
              <w:spacing w:after="0" w:line="240" w:lineRule="auto"/>
              <w:jc w:val="both"/>
              <w:rPr>
                <w:rFonts w:ascii="Garamond" w:hAnsi="Garamond"/>
                <w:sz w:val="16"/>
                <w:szCs w:val="16"/>
              </w:rPr>
            </w:pPr>
            <w:r w:rsidRPr="00D11C96">
              <w:rPr>
                <w:rFonts w:ascii="Garamond" w:hAnsi="Garamond"/>
                <w:sz w:val="16"/>
                <w:szCs w:val="16"/>
              </w:rPr>
              <w:t>2.62%</w:t>
            </w:r>
          </w:p>
        </w:tc>
      </w:tr>
      <w:tr w:rsidRPr="00D11C96" w:rsidR="00B26A81" w14:paraId="2C59D145"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70C0046E" w14:textId="77777777">
            <w:pPr>
              <w:spacing w:after="0" w:line="240" w:lineRule="auto"/>
              <w:jc w:val="both"/>
              <w:rPr>
                <w:rFonts w:ascii="Garamond" w:hAnsi="Garamond"/>
                <w:b/>
                <w:sz w:val="16"/>
                <w:szCs w:val="16"/>
              </w:rPr>
            </w:pPr>
            <w:r w:rsidRPr="00D11C96">
              <w:rPr>
                <w:rFonts w:ascii="Garamond" w:hAnsi="Garamond"/>
                <w:b/>
                <w:sz w:val="16"/>
                <w:szCs w:val="16"/>
              </w:rPr>
              <w:t>Tocancipá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1176D3B2" w14:textId="77777777">
            <w:pPr>
              <w:spacing w:after="0" w:line="240" w:lineRule="auto"/>
              <w:jc w:val="both"/>
              <w:rPr>
                <w:rFonts w:ascii="Garamond" w:hAnsi="Garamond"/>
                <w:sz w:val="16"/>
                <w:szCs w:val="16"/>
              </w:rPr>
            </w:pPr>
            <w:r w:rsidRPr="00D11C96">
              <w:rPr>
                <w:rFonts w:ascii="Garamond" w:hAnsi="Garamond"/>
                <w:sz w:val="16"/>
                <w:szCs w:val="16"/>
              </w:rPr>
              <w:t>815.8330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16A3FE27" w14:textId="77777777">
            <w:pPr>
              <w:spacing w:after="0" w:line="240" w:lineRule="auto"/>
              <w:jc w:val="both"/>
              <w:rPr>
                <w:rFonts w:ascii="Garamond" w:hAnsi="Garamond"/>
                <w:sz w:val="16"/>
                <w:szCs w:val="16"/>
              </w:rPr>
            </w:pPr>
            <w:r w:rsidRPr="00D11C96">
              <w:rPr>
                <w:rFonts w:ascii="Garamond" w:hAnsi="Garamond"/>
                <w:sz w:val="16"/>
                <w:szCs w:val="16"/>
              </w:rPr>
              <w:t>11.15%</w:t>
            </w:r>
          </w:p>
        </w:tc>
      </w:tr>
      <w:tr w:rsidRPr="00D11C96" w:rsidR="00B26A81" w14:paraId="56FDA4A2"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0CBE1943" w14:textId="77777777">
            <w:pPr>
              <w:spacing w:after="0" w:line="240" w:lineRule="auto"/>
              <w:jc w:val="both"/>
              <w:rPr>
                <w:rFonts w:ascii="Garamond" w:hAnsi="Garamond"/>
                <w:b/>
                <w:sz w:val="16"/>
                <w:szCs w:val="16"/>
              </w:rPr>
            </w:pPr>
            <w:proofErr w:type="spellStart"/>
            <w:r w:rsidRPr="00D11C96">
              <w:rPr>
                <w:rFonts w:ascii="Garamond" w:hAnsi="Garamond"/>
                <w:b/>
                <w:sz w:val="16"/>
                <w:szCs w:val="16"/>
              </w:rPr>
              <w:t>Villapinzon</w:t>
            </w:r>
            <w:proofErr w:type="spellEnd"/>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73DBE6F8" w14:textId="77777777">
            <w:pPr>
              <w:spacing w:after="0" w:line="240" w:lineRule="auto"/>
              <w:jc w:val="both"/>
              <w:rPr>
                <w:rFonts w:ascii="Garamond" w:hAnsi="Garamond"/>
                <w:sz w:val="16"/>
                <w:szCs w:val="16"/>
              </w:rPr>
            </w:pPr>
            <w:r w:rsidRPr="00D11C96">
              <w:rPr>
                <w:rFonts w:ascii="Garamond" w:hAnsi="Garamond"/>
                <w:sz w:val="16"/>
                <w:szCs w:val="16"/>
              </w:rPr>
              <w:t>42.8690</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5638AACF" w14:textId="77777777">
            <w:pPr>
              <w:spacing w:after="0" w:line="240" w:lineRule="auto"/>
              <w:jc w:val="both"/>
              <w:rPr>
                <w:rFonts w:ascii="Garamond" w:hAnsi="Garamond"/>
                <w:sz w:val="16"/>
                <w:szCs w:val="16"/>
              </w:rPr>
            </w:pPr>
            <w:r w:rsidRPr="00D11C96">
              <w:rPr>
                <w:rFonts w:ascii="Garamond" w:hAnsi="Garamond"/>
                <w:sz w:val="16"/>
                <w:szCs w:val="16"/>
              </w:rPr>
              <w:t>0.34%</w:t>
            </w:r>
          </w:p>
        </w:tc>
      </w:tr>
      <w:tr w:rsidRPr="00D11C96" w:rsidR="00B26A81" w14:paraId="05982F94"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5BA1C818" w14:textId="77777777">
            <w:pPr>
              <w:spacing w:after="0" w:line="240" w:lineRule="auto"/>
              <w:jc w:val="both"/>
              <w:rPr>
                <w:rFonts w:ascii="Garamond" w:hAnsi="Garamond"/>
                <w:b/>
                <w:sz w:val="16"/>
                <w:szCs w:val="16"/>
              </w:rPr>
            </w:pPr>
            <w:r w:rsidRPr="00D11C96">
              <w:rPr>
                <w:rFonts w:ascii="Garamond" w:hAnsi="Garamond"/>
                <w:b/>
                <w:sz w:val="16"/>
                <w:szCs w:val="16"/>
              </w:rPr>
              <w:t>Zipaquirá</w:t>
            </w:r>
          </w:p>
        </w:tc>
        <w:tc>
          <w:tcPr>
            <w:tcW w:w="1701" w:type="dxa"/>
            <w:tcBorders>
              <w:top w:val="nil"/>
              <w:left w:val="nil"/>
              <w:bottom w:val="single" w:color="auto" w:sz="4" w:space="0"/>
              <w:right w:val="single" w:color="auto" w:sz="4" w:space="0"/>
            </w:tcBorders>
            <w:noWrap/>
            <w:vAlign w:val="center"/>
            <w:hideMark/>
          </w:tcPr>
          <w:p w:rsidRPr="00D11C96" w:rsidR="00B26A81" w:rsidP="00B26A81" w:rsidRDefault="00B26A81" w14:paraId="68863A7A" w14:textId="77777777">
            <w:pPr>
              <w:spacing w:after="0" w:line="240" w:lineRule="auto"/>
              <w:jc w:val="both"/>
              <w:rPr>
                <w:rFonts w:ascii="Garamond" w:hAnsi="Garamond"/>
                <w:sz w:val="16"/>
                <w:szCs w:val="16"/>
              </w:rPr>
            </w:pPr>
            <w:r w:rsidRPr="00D11C96">
              <w:rPr>
                <w:rFonts w:ascii="Garamond" w:hAnsi="Garamond"/>
                <w:sz w:val="16"/>
                <w:szCs w:val="16"/>
              </w:rPr>
              <w:t>392.3024</w:t>
            </w:r>
          </w:p>
        </w:tc>
        <w:tc>
          <w:tcPr>
            <w:tcW w:w="1842" w:type="dxa"/>
            <w:tcBorders>
              <w:top w:val="nil"/>
              <w:left w:val="nil"/>
              <w:bottom w:val="single" w:color="auto" w:sz="4" w:space="0"/>
              <w:right w:val="single" w:color="auto" w:sz="4" w:space="0"/>
            </w:tcBorders>
            <w:noWrap/>
            <w:vAlign w:val="center"/>
            <w:hideMark/>
          </w:tcPr>
          <w:p w:rsidRPr="00D11C96" w:rsidR="00B26A81" w:rsidP="00B26A81" w:rsidRDefault="00B26A81" w14:paraId="007E3A88" w14:textId="77777777">
            <w:pPr>
              <w:spacing w:after="0" w:line="240" w:lineRule="auto"/>
              <w:jc w:val="both"/>
              <w:rPr>
                <w:rFonts w:ascii="Garamond" w:hAnsi="Garamond"/>
                <w:sz w:val="16"/>
                <w:szCs w:val="16"/>
              </w:rPr>
            </w:pPr>
            <w:r w:rsidRPr="00D11C96">
              <w:rPr>
                <w:rFonts w:ascii="Garamond" w:hAnsi="Garamond"/>
                <w:sz w:val="16"/>
                <w:szCs w:val="16"/>
              </w:rPr>
              <w:t>2.16%</w:t>
            </w:r>
          </w:p>
        </w:tc>
      </w:tr>
      <w:tr w:rsidRPr="00D11C96" w:rsidR="00B26A81" w14:paraId="7519F3B6" w14:textId="77777777">
        <w:trPr>
          <w:trHeight w:val="288"/>
        </w:trPr>
        <w:tc>
          <w:tcPr>
            <w:tcW w:w="2410" w:type="dxa"/>
            <w:tcBorders>
              <w:top w:val="nil"/>
              <w:left w:val="single" w:color="auto" w:sz="4" w:space="0"/>
              <w:bottom w:val="single" w:color="auto" w:sz="4" w:space="0"/>
              <w:right w:val="single" w:color="auto" w:sz="4" w:space="0"/>
            </w:tcBorders>
            <w:noWrap/>
            <w:vAlign w:val="center"/>
            <w:hideMark/>
          </w:tcPr>
          <w:p w:rsidRPr="00D11C96" w:rsidR="00B26A81" w:rsidP="00B26A81" w:rsidRDefault="00B26A81" w14:paraId="3A65EEC6" w14:textId="77777777">
            <w:pPr>
              <w:spacing w:after="0" w:line="240" w:lineRule="auto"/>
              <w:jc w:val="both"/>
              <w:rPr>
                <w:rFonts w:ascii="Garamond" w:hAnsi="Garamond"/>
                <w:b/>
                <w:sz w:val="16"/>
                <w:szCs w:val="16"/>
              </w:rPr>
            </w:pPr>
            <w:r w:rsidRPr="00D11C96">
              <w:rPr>
                <w:rFonts w:ascii="Garamond" w:hAnsi="Garamond"/>
                <w:b/>
                <w:sz w:val="16"/>
                <w:szCs w:val="16"/>
              </w:rPr>
              <w:t>Total</w:t>
            </w:r>
          </w:p>
        </w:tc>
        <w:tc>
          <w:tcPr>
            <w:tcW w:w="3543" w:type="dxa"/>
            <w:gridSpan w:val="2"/>
            <w:tcBorders>
              <w:top w:val="single" w:color="auto" w:sz="4" w:space="0"/>
              <w:left w:val="nil"/>
              <w:bottom w:val="single" w:color="auto" w:sz="4" w:space="0"/>
              <w:right w:val="single" w:color="auto" w:sz="4" w:space="0"/>
            </w:tcBorders>
            <w:noWrap/>
            <w:vAlign w:val="center"/>
            <w:hideMark/>
          </w:tcPr>
          <w:p w:rsidRPr="00D11C96" w:rsidR="00B26A81" w:rsidP="00B26A81" w:rsidRDefault="00B26A81" w14:paraId="7385F521" w14:textId="77777777">
            <w:pPr>
              <w:spacing w:after="0" w:line="240" w:lineRule="auto"/>
              <w:jc w:val="both"/>
              <w:rPr>
                <w:rFonts w:ascii="Garamond" w:hAnsi="Garamond"/>
                <w:sz w:val="16"/>
                <w:szCs w:val="16"/>
              </w:rPr>
            </w:pPr>
            <w:r w:rsidRPr="00D11C96">
              <w:rPr>
                <w:rFonts w:ascii="Garamond" w:hAnsi="Garamond"/>
                <w:sz w:val="16"/>
                <w:szCs w:val="16"/>
              </w:rPr>
              <w:t>14167.8910</w:t>
            </w:r>
          </w:p>
        </w:tc>
      </w:tr>
    </w:tbl>
    <w:p w:rsidRPr="00D11C96" w:rsidR="00B26A81" w:rsidP="00B26A81" w:rsidRDefault="00B26A81" w14:paraId="7FA78FB7" w14:textId="77777777">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p>
    <w:p w:rsidRPr="00D11C96" w:rsidR="00A7233C" w:rsidP="00B91775" w:rsidRDefault="00A604D4" w14:paraId="0C31F68C" w14:textId="7F089EAF">
      <w:pPr>
        <w:jc w:val="both"/>
        <w:rPr>
          <w:rFonts w:ascii="Garamond" w:hAnsi="Garamond"/>
          <w:sz w:val="22"/>
          <w:szCs w:val="22"/>
        </w:rPr>
      </w:pPr>
      <w:r w:rsidRPr="00D11C96">
        <w:rPr>
          <w:rFonts w:ascii="Garamond" w:hAnsi="Garamond"/>
          <w:sz w:val="22"/>
          <w:szCs w:val="22"/>
        </w:rPr>
        <w:t>El eslabón económico no solo se abarca la producción, sino también la comercialización, es por esto que durante 2015 Corabastos y la Plaza de las flores recibieron 1,8 millones de toneladas de alimentos desde el resto de Colombia, de las cuales la mayor parte (42,7%) provenía de Cundinamarca. (Gobernación de Cundinamarca, 2020). ya que se estima que el 42.7% de las ventas anuales de CORABASTOS ($20.000 millones de pesos) dependen de Cundinamarca</w:t>
      </w:r>
      <w:r w:rsidRPr="00D11C96" w:rsidR="002775FB">
        <w:rPr>
          <w:rFonts w:ascii="Garamond" w:hAnsi="Garamond"/>
          <w:sz w:val="22"/>
          <w:szCs w:val="22"/>
        </w:rPr>
        <w:t xml:space="preserve"> </w:t>
      </w:r>
      <w:r w:rsidRPr="004F16F8" w:rsidR="002775FB">
        <w:rPr>
          <w:rFonts w:ascii="Garamond" w:hAnsi="Garamond"/>
          <w:sz w:val="22"/>
          <w:szCs w:val="22"/>
        </w:rPr>
        <w:t>(Secretaria de desarrollo económico</w:t>
      </w:r>
      <w:r w:rsidR="004F16F8">
        <w:rPr>
          <w:rFonts w:ascii="Garamond" w:hAnsi="Garamond"/>
          <w:sz w:val="22"/>
          <w:szCs w:val="22"/>
        </w:rPr>
        <w:t>)</w:t>
      </w:r>
    </w:p>
    <w:p w:rsidRPr="00D11C96" w:rsidR="00A604D4" w:rsidP="00B91775" w:rsidRDefault="00A604D4" w14:paraId="0E45C161" w14:textId="77777777">
      <w:pPr>
        <w:jc w:val="both"/>
        <w:rPr>
          <w:rFonts w:ascii="Garamond" w:hAnsi="Garamond"/>
          <w:sz w:val="22"/>
          <w:szCs w:val="22"/>
        </w:rPr>
      </w:pPr>
      <w:r w:rsidRPr="00D11C96">
        <w:rPr>
          <w:rFonts w:ascii="Garamond" w:hAnsi="Garamond"/>
          <w:sz w:val="22"/>
          <w:szCs w:val="22"/>
        </w:rPr>
        <w:t xml:space="preserve">El costo de oportunidad de la producción alimentaria no es lo único que impacta el suelo de la Sabana, ya que estos ofrecen servicios ecosistémicos vitales como regulación climática, control de inundaciones y soporte a la biodiversidad. Siendo esenciales para el ciclo del agua y de nutrientes, así como funciones culturales e históricas (Blum, 2005; </w:t>
      </w:r>
      <w:proofErr w:type="spellStart"/>
      <w:r w:rsidRPr="00D11C96">
        <w:rPr>
          <w:rFonts w:ascii="Garamond" w:hAnsi="Garamond"/>
          <w:sz w:val="22"/>
          <w:szCs w:val="22"/>
        </w:rPr>
        <w:t>Bone</w:t>
      </w:r>
      <w:proofErr w:type="spellEnd"/>
      <w:r w:rsidRPr="00D11C96">
        <w:rPr>
          <w:rFonts w:ascii="Garamond" w:hAnsi="Garamond"/>
          <w:sz w:val="22"/>
          <w:szCs w:val="22"/>
        </w:rPr>
        <w:t xml:space="preserve"> et al., 2010; Millennium </w:t>
      </w:r>
      <w:proofErr w:type="spellStart"/>
      <w:r w:rsidRPr="00D11C96">
        <w:rPr>
          <w:rFonts w:ascii="Garamond" w:hAnsi="Garamond"/>
          <w:sz w:val="22"/>
          <w:szCs w:val="22"/>
        </w:rPr>
        <w:t>Ecosystem</w:t>
      </w:r>
      <w:proofErr w:type="spellEnd"/>
      <w:r w:rsidRPr="00D11C96">
        <w:rPr>
          <w:rFonts w:ascii="Garamond" w:hAnsi="Garamond"/>
          <w:sz w:val="22"/>
          <w:szCs w:val="22"/>
        </w:rPr>
        <w:t xml:space="preserve"> </w:t>
      </w:r>
      <w:proofErr w:type="spellStart"/>
      <w:r w:rsidRPr="00D11C96">
        <w:rPr>
          <w:rFonts w:ascii="Garamond" w:hAnsi="Garamond"/>
          <w:sz w:val="22"/>
          <w:szCs w:val="22"/>
        </w:rPr>
        <w:t>Assessment</w:t>
      </w:r>
      <w:proofErr w:type="spellEnd"/>
      <w:r w:rsidRPr="00D11C96">
        <w:rPr>
          <w:rFonts w:ascii="Garamond" w:hAnsi="Garamond"/>
          <w:sz w:val="22"/>
          <w:szCs w:val="22"/>
        </w:rPr>
        <w:t xml:space="preserve">, 2005, citado en PGSS, 2016). </w:t>
      </w:r>
    </w:p>
    <w:p w:rsidRPr="00D11C96" w:rsidR="00A604D4" w:rsidP="00B91775" w:rsidRDefault="00A604D4" w14:paraId="32B22D98" w14:textId="72C00AD9">
      <w:pPr>
        <w:jc w:val="both"/>
        <w:rPr>
          <w:rFonts w:ascii="Garamond" w:hAnsi="Garamond"/>
          <w:sz w:val="22"/>
          <w:szCs w:val="22"/>
        </w:rPr>
      </w:pPr>
      <w:r w:rsidRPr="00D11C96">
        <w:rPr>
          <w:rFonts w:ascii="Garamond" w:hAnsi="Garamond"/>
          <w:sz w:val="22"/>
          <w:szCs w:val="22"/>
        </w:rPr>
        <w:t>Es por esto, que desde l</w:t>
      </w:r>
      <w:r w:rsidRPr="00D11C96" w:rsidR="000A0285">
        <w:rPr>
          <w:rFonts w:ascii="Garamond" w:hAnsi="Garamond"/>
          <w:sz w:val="22"/>
          <w:szCs w:val="22"/>
        </w:rPr>
        <w:t>a</w:t>
      </w:r>
      <w:r w:rsidRPr="00D11C96">
        <w:rPr>
          <w:rFonts w:ascii="Garamond" w:hAnsi="Garamond"/>
          <w:sz w:val="22"/>
          <w:szCs w:val="22"/>
        </w:rPr>
        <w:t xml:space="preserve">s </w:t>
      </w:r>
      <w:r w:rsidRPr="00D11C96" w:rsidR="000A0285">
        <w:rPr>
          <w:rFonts w:ascii="Garamond" w:hAnsi="Garamond"/>
          <w:sz w:val="22"/>
          <w:szCs w:val="22"/>
        </w:rPr>
        <w:t>directrices</w:t>
      </w:r>
      <w:r w:rsidRPr="00D11C96">
        <w:rPr>
          <w:rFonts w:ascii="Garamond" w:hAnsi="Garamond"/>
          <w:sz w:val="22"/>
          <w:szCs w:val="22"/>
        </w:rPr>
        <w:t xml:space="preserve"> se aportan mecanismos para proteger el recurso suelo, así como aquellas que permitan implementar de mejor manera la Política para la Gestión Sostenible del Suelo en la Sabana de Bogotá, y por tanto, facilitar las condiciones para la producción agropecuaria y la seguridad alimentaria, comprendiendo estas como servicios ecosistémicos de provisión de alimentos ofertados por los ecosistemas sabaneros. </w:t>
      </w:r>
    </w:p>
    <w:p w:rsidRPr="00D11C96" w:rsidR="00A604D4" w:rsidP="00B91775" w:rsidRDefault="00A604D4" w14:paraId="5CAC7087" w14:textId="60C898C4">
      <w:pPr>
        <w:jc w:val="both"/>
        <w:rPr>
          <w:rFonts w:ascii="Garamond" w:hAnsi="Garamond"/>
          <w:sz w:val="22"/>
          <w:szCs w:val="22"/>
        </w:rPr>
      </w:pPr>
      <w:r w:rsidRPr="00D11C96">
        <w:rPr>
          <w:rFonts w:ascii="Garamond" w:hAnsi="Garamond"/>
          <w:sz w:val="22"/>
          <w:szCs w:val="22"/>
        </w:rPr>
        <w:t xml:space="preserve">De esta manera, </w:t>
      </w:r>
      <w:r w:rsidRPr="00D11C96" w:rsidR="00573EDC">
        <w:rPr>
          <w:rFonts w:ascii="Garamond" w:hAnsi="Garamond"/>
          <w:sz w:val="22"/>
          <w:szCs w:val="22"/>
        </w:rPr>
        <w:t xml:space="preserve">la implementación de las directrices ambientales </w:t>
      </w:r>
      <w:r w:rsidRPr="004F16F8" w:rsidR="00573EDC">
        <w:rPr>
          <w:rFonts w:ascii="Garamond" w:hAnsi="Garamond"/>
          <w:sz w:val="22"/>
          <w:szCs w:val="22"/>
        </w:rPr>
        <w:t>mantiene</w:t>
      </w:r>
      <w:r w:rsidRPr="00D11C96" w:rsidR="000A0285">
        <w:rPr>
          <w:rFonts w:ascii="Garamond" w:hAnsi="Garamond"/>
          <w:sz w:val="22"/>
          <w:szCs w:val="22"/>
        </w:rPr>
        <w:t xml:space="preserve"> los</w:t>
      </w:r>
      <w:r w:rsidRPr="00D11C96">
        <w:rPr>
          <w:rFonts w:ascii="Garamond" w:hAnsi="Garamond"/>
          <w:sz w:val="22"/>
          <w:szCs w:val="22"/>
        </w:rPr>
        <w:t xml:space="preserve"> beneficios económicos </w:t>
      </w:r>
      <w:r w:rsidRPr="00D11C96" w:rsidR="000A0285">
        <w:rPr>
          <w:rFonts w:ascii="Garamond" w:hAnsi="Garamond"/>
          <w:sz w:val="22"/>
          <w:szCs w:val="22"/>
        </w:rPr>
        <w:t xml:space="preserve">actuales </w:t>
      </w:r>
      <w:r w:rsidRPr="00D11C96">
        <w:rPr>
          <w:rFonts w:ascii="Garamond" w:hAnsi="Garamond"/>
          <w:sz w:val="22"/>
          <w:szCs w:val="22"/>
        </w:rPr>
        <w:t>en diversos sectores productivos. En especial, reduciría el costo de oportunidad asociado a la producción de alimentos, fortaleciéndola y manteniéndola como la principal actividad económica de la Sabana de Bogotá</w:t>
      </w:r>
      <w:r w:rsidR="00F25316">
        <w:rPr>
          <w:rFonts w:ascii="Garamond" w:hAnsi="Garamond"/>
          <w:sz w:val="22"/>
          <w:szCs w:val="22"/>
        </w:rPr>
        <w:t xml:space="preserve"> con una producción de mas de </w:t>
      </w:r>
      <w:r w:rsidRPr="00D11C96" w:rsidR="000A0285">
        <w:rPr>
          <w:rFonts w:ascii="Garamond" w:hAnsi="Garamond"/>
          <w:sz w:val="22"/>
          <w:szCs w:val="22"/>
        </w:rPr>
        <w:t xml:space="preserve"> </w:t>
      </w:r>
      <w:r w:rsidR="004F16F8">
        <w:rPr>
          <w:rFonts w:ascii="Garamond" w:hAnsi="Garamond"/>
          <w:sz w:val="22"/>
          <w:szCs w:val="22"/>
        </w:rPr>
        <w:t>125.000 ha cosechadas.</w:t>
      </w:r>
    </w:p>
    <w:p w:rsidRPr="00D11C96" w:rsidR="00573EDC" w:rsidP="00573EDC" w:rsidRDefault="00573EDC" w14:paraId="73CAE847" w14:textId="77777777">
      <w:pPr>
        <w:jc w:val="both"/>
        <w:rPr>
          <w:rFonts w:ascii="Garamond" w:hAnsi="Garamond"/>
          <w:b/>
          <w:bCs/>
          <w:sz w:val="22"/>
          <w:szCs w:val="22"/>
        </w:rPr>
      </w:pPr>
      <w:r w:rsidRPr="00D11C96">
        <w:rPr>
          <w:rFonts w:ascii="Garamond" w:hAnsi="Garamond"/>
          <w:b/>
          <w:bCs/>
          <w:sz w:val="22"/>
          <w:szCs w:val="22"/>
        </w:rPr>
        <w:t>Vivienda</w:t>
      </w:r>
    </w:p>
    <w:p w:rsidR="00772695" w:rsidP="00573EDC" w:rsidRDefault="00772695" w14:paraId="5BB3F3CC" w14:textId="716F82E0">
      <w:pPr>
        <w:jc w:val="both"/>
        <w:rPr>
          <w:rFonts w:ascii="Garamond" w:hAnsi="Garamond"/>
          <w:sz w:val="22"/>
          <w:szCs w:val="22"/>
        </w:rPr>
      </w:pPr>
      <w:r w:rsidRPr="00D11C96">
        <w:rPr>
          <w:rFonts w:ascii="Garamond" w:hAnsi="Garamond"/>
          <w:sz w:val="22"/>
          <w:szCs w:val="22"/>
        </w:rPr>
        <w:t>Uno de los efectos que propone las Directrices de ordenamiento ambiental de la Sabana, es que se propone buscar el máximo aprovechamiento del suelo apto para la construcción de vivienda.</w:t>
      </w:r>
      <w:r w:rsidR="00937A47">
        <w:rPr>
          <w:rFonts w:ascii="Garamond" w:hAnsi="Garamond"/>
          <w:sz w:val="22"/>
          <w:szCs w:val="22"/>
        </w:rPr>
        <w:t xml:space="preserve"> </w:t>
      </w:r>
      <w:r w:rsidRPr="00D11C96">
        <w:rPr>
          <w:rFonts w:ascii="Garamond" w:hAnsi="Garamond"/>
          <w:sz w:val="22"/>
          <w:szCs w:val="22"/>
        </w:rPr>
        <w:t xml:space="preserve">En ese sentido, para poder dimensionar la oferta de suelo disponible, se analizaron las clases y categorías de la del suelo de la Sabana de Bogotá (Para lo anterior se utilizaron tres fuentes de información, para el caso de Bogotá, la información corresponde a datos abiertos del Plan de Ordenamiento Territorial Decreto 555 de 2021 y para el municipio de Guasca se utilizó información de datos abiertos de la Infraestructura de Datos Espaciales Regional de Cundinamarca IDER.) y se contrasto a la luz de la huella construida más reciente (Google </w:t>
      </w:r>
      <w:proofErr w:type="spellStart"/>
      <w:r w:rsidRPr="00D11C96">
        <w:rPr>
          <w:rFonts w:ascii="Garamond" w:hAnsi="Garamond"/>
          <w:sz w:val="22"/>
          <w:szCs w:val="22"/>
        </w:rPr>
        <w:t>Building</w:t>
      </w:r>
      <w:proofErr w:type="spellEnd"/>
      <w:r w:rsidRPr="00D11C96">
        <w:rPr>
          <w:rFonts w:ascii="Garamond" w:hAnsi="Garamond"/>
          <w:sz w:val="22"/>
          <w:szCs w:val="22"/>
        </w:rPr>
        <w:t xml:space="preserve"> </w:t>
      </w:r>
      <w:proofErr w:type="spellStart"/>
      <w:r w:rsidRPr="00D11C96">
        <w:rPr>
          <w:rFonts w:ascii="Garamond" w:hAnsi="Garamond"/>
          <w:sz w:val="22"/>
          <w:szCs w:val="22"/>
        </w:rPr>
        <w:t>Footprint</w:t>
      </w:r>
      <w:proofErr w:type="spellEnd"/>
      <w:r w:rsidRPr="00D11C96">
        <w:rPr>
          <w:rFonts w:ascii="Garamond" w:hAnsi="Garamond"/>
          <w:sz w:val="22"/>
          <w:szCs w:val="22"/>
        </w:rPr>
        <w:t>).</w:t>
      </w:r>
    </w:p>
    <w:p w:rsidRPr="00937A47" w:rsidR="00937A47" w:rsidP="00937A47" w:rsidRDefault="00937A47" w14:paraId="7C4EECE2" w14:textId="77542390">
      <w:pPr>
        <w:pStyle w:val="Caption"/>
        <w:jc w:val="center"/>
      </w:pPr>
      <w:r>
        <w:t xml:space="preserve">Ilustración </w:t>
      </w:r>
      <w:r>
        <w:fldChar w:fldCharType="begin"/>
      </w:r>
      <w:r>
        <w:instrText xml:space="preserve"> SEQ Ilustración \* ARABIC </w:instrText>
      </w:r>
      <w:r>
        <w:fldChar w:fldCharType="separate"/>
      </w:r>
      <w:r w:rsidR="00FF34DC">
        <w:rPr>
          <w:noProof/>
        </w:rPr>
        <w:t>2</w:t>
      </w:r>
      <w:r>
        <w:fldChar w:fldCharType="end"/>
      </w:r>
      <w:r>
        <w:t xml:space="preserve">. Huella </w:t>
      </w:r>
      <w:proofErr w:type="spellStart"/>
      <w:r>
        <w:t>contruida</w:t>
      </w:r>
      <w:proofErr w:type="spellEnd"/>
      <w:r>
        <w:t xml:space="preserve"> sobre la Sabana de Bogotá (Google </w:t>
      </w:r>
      <w:proofErr w:type="spellStart"/>
      <w:r>
        <w:t>Building</w:t>
      </w:r>
      <w:proofErr w:type="spellEnd"/>
      <w:r>
        <w:t xml:space="preserve"> </w:t>
      </w:r>
      <w:proofErr w:type="spellStart"/>
      <w:r>
        <w:t>Footprint</w:t>
      </w:r>
      <w:proofErr w:type="spellEnd"/>
      <w:r>
        <w:t>)</w:t>
      </w: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680"/>
        <w:gridCol w:w="4680"/>
      </w:tblGrid>
      <w:tr w:rsidRPr="00D11C96" w:rsidR="00B2467E" w:rsidTr="00B2467E" w14:paraId="547E541A" w14:textId="77777777">
        <w:tc>
          <w:tcPr>
            <w:tcW w:w="2500" w:type="pct"/>
            <w:vAlign w:val="center"/>
          </w:tcPr>
          <w:p w:rsidRPr="00D11C96" w:rsidR="00B2467E" w:rsidP="00B2467E" w:rsidRDefault="00B2467E" w14:paraId="5B20EF24" w14:textId="0FEA22EE">
            <w:pPr>
              <w:tabs>
                <w:tab w:val="left" w:pos="3164"/>
              </w:tabs>
              <w:jc w:val="center"/>
              <w:rPr>
                <w:rFonts w:ascii="Garamond" w:hAnsi="Garamond"/>
                <w:sz w:val="22"/>
                <w:szCs w:val="22"/>
              </w:rPr>
            </w:pPr>
            <w:r w:rsidRPr="00D11C96">
              <w:rPr>
                <w:noProof/>
              </w:rPr>
              <w:drawing>
                <wp:inline distT="0" distB="0" distL="0" distR="0" wp14:anchorId="0E26F7DA" wp14:editId="096FDEE1">
                  <wp:extent cx="2668732" cy="3454240"/>
                  <wp:effectExtent l="19050" t="19050" r="17780" b="13335"/>
                  <wp:docPr id="1832409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508" cy="3494075"/>
                          </a:xfrm>
                          <a:prstGeom prst="rect">
                            <a:avLst/>
                          </a:prstGeom>
                          <a:noFill/>
                          <a:ln>
                            <a:solidFill>
                              <a:schemeClr val="tx1"/>
                            </a:solidFill>
                          </a:ln>
                        </pic:spPr>
                      </pic:pic>
                    </a:graphicData>
                  </a:graphic>
                </wp:inline>
              </w:drawing>
            </w:r>
          </w:p>
        </w:tc>
        <w:tc>
          <w:tcPr>
            <w:tcW w:w="2500" w:type="pct"/>
            <w:vAlign w:val="center"/>
          </w:tcPr>
          <w:p w:rsidRPr="00D11C96" w:rsidR="00B2467E" w:rsidP="00937A47" w:rsidRDefault="00B2467E" w14:paraId="1983130B" w14:textId="5F804AD1">
            <w:pPr>
              <w:keepNext/>
              <w:jc w:val="center"/>
              <w:rPr>
                <w:rFonts w:ascii="Garamond" w:hAnsi="Garamond"/>
                <w:sz w:val="22"/>
                <w:szCs w:val="22"/>
              </w:rPr>
            </w:pPr>
            <w:r w:rsidRPr="00D11C96">
              <w:rPr>
                <w:noProof/>
              </w:rPr>
              <w:drawing>
                <wp:inline distT="0" distB="0" distL="0" distR="0" wp14:anchorId="57C30DB0" wp14:editId="4090ADFF">
                  <wp:extent cx="2675466" cy="3462957"/>
                  <wp:effectExtent l="19050" t="19050" r="10795" b="23495"/>
                  <wp:docPr id="105742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031" cy="3493458"/>
                          </a:xfrm>
                          <a:prstGeom prst="rect">
                            <a:avLst/>
                          </a:prstGeom>
                          <a:noFill/>
                          <a:ln>
                            <a:solidFill>
                              <a:schemeClr val="tx1"/>
                            </a:solidFill>
                          </a:ln>
                        </pic:spPr>
                      </pic:pic>
                    </a:graphicData>
                  </a:graphic>
                </wp:inline>
              </w:drawing>
            </w:r>
          </w:p>
        </w:tc>
      </w:tr>
    </w:tbl>
    <w:p w:rsidRPr="00D11C96" w:rsidR="00A12A99" w:rsidP="00A12A99" w:rsidRDefault="00A12A99" w14:paraId="7401DFFE" w14:textId="77777777">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p>
    <w:p w:rsidRPr="00D11C96" w:rsidR="00772695" w:rsidP="00772695" w:rsidRDefault="00B2467E" w14:paraId="28BC2B3D" w14:textId="0AC633D6">
      <w:pPr>
        <w:jc w:val="both"/>
        <w:rPr>
          <w:rFonts w:ascii="Garamond" w:hAnsi="Garamond"/>
          <w:sz w:val="22"/>
          <w:szCs w:val="22"/>
        </w:rPr>
      </w:pPr>
      <w:r w:rsidRPr="00D11C96">
        <w:rPr>
          <w:rFonts w:ascii="Garamond" w:hAnsi="Garamond"/>
          <w:sz w:val="22"/>
          <w:szCs w:val="22"/>
        </w:rPr>
        <w:t xml:space="preserve">En el caso de </w:t>
      </w:r>
      <w:r w:rsidRPr="00D11C96" w:rsidR="00772695">
        <w:rPr>
          <w:rFonts w:ascii="Garamond" w:hAnsi="Garamond"/>
          <w:sz w:val="22"/>
          <w:szCs w:val="22"/>
        </w:rPr>
        <w:t>la Sabana de Bogotá</w:t>
      </w:r>
      <w:r w:rsidRPr="00D11C96">
        <w:rPr>
          <w:rFonts w:ascii="Garamond" w:hAnsi="Garamond"/>
          <w:sz w:val="22"/>
          <w:szCs w:val="22"/>
        </w:rPr>
        <w:t>,</w:t>
      </w:r>
      <w:r w:rsidRPr="00D11C96" w:rsidR="00772695">
        <w:rPr>
          <w:rFonts w:ascii="Garamond" w:hAnsi="Garamond"/>
          <w:sz w:val="22"/>
          <w:szCs w:val="22"/>
        </w:rPr>
        <w:t xml:space="preserve"> se encuentra conformada por </w:t>
      </w:r>
      <w:r w:rsidRPr="00D11C96">
        <w:rPr>
          <w:rFonts w:ascii="Garamond" w:hAnsi="Garamond"/>
          <w:sz w:val="22"/>
          <w:szCs w:val="22"/>
        </w:rPr>
        <w:t>las</w:t>
      </w:r>
      <w:r w:rsidRPr="00D11C96" w:rsidR="00772695">
        <w:rPr>
          <w:rFonts w:ascii="Garamond" w:hAnsi="Garamond"/>
          <w:sz w:val="22"/>
          <w:szCs w:val="22"/>
        </w:rPr>
        <w:t xml:space="preserve"> siguientes clases</w:t>
      </w:r>
      <w:r w:rsidRPr="00D11C96">
        <w:rPr>
          <w:rFonts w:ascii="Garamond" w:hAnsi="Garamond"/>
          <w:sz w:val="22"/>
          <w:szCs w:val="22"/>
        </w:rPr>
        <w:t>/categorías</w:t>
      </w:r>
      <w:r w:rsidRPr="00D11C96" w:rsidR="00772695">
        <w:rPr>
          <w:rFonts w:ascii="Garamond" w:hAnsi="Garamond"/>
          <w:sz w:val="22"/>
          <w:szCs w:val="22"/>
        </w:rPr>
        <w:t xml:space="preserve"> del suelo:</w:t>
      </w:r>
    </w:p>
    <w:p w:rsidR="00355C16" w:rsidP="00355C16" w:rsidRDefault="00355C16" w14:paraId="4EEB59FF" w14:textId="31409FE8">
      <w:pPr>
        <w:pStyle w:val="Caption"/>
        <w:keepNext/>
        <w:jc w:val="center"/>
      </w:pPr>
      <w:r>
        <w:t xml:space="preserve">Tabla </w:t>
      </w:r>
      <w:r>
        <w:fldChar w:fldCharType="begin"/>
      </w:r>
      <w:r>
        <w:instrText xml:space="preserve"> SEQ Tabla \* ARABIC </w:instrText>
      </w:r>
      <w:r>
        <w:fldChar w:fldCharType="separate"/>
      </w:r>
      <w:r w:rsidR="006E2525">
        <w:rPr>
          <w:noProof/>
        </w:rPr>
        <w:t>2</w:t>
      </w:r>
      <w:r>
        <w:fldChar w:fldCharType="end"/>
      </w:r>
      <w:r>
        <w:t>. C</w:t>
      </w:r>
      <w:r w:rsidRPr="0044578F">
        <w:t>lases/categorías del suelo</w:t>
      </w:r>
      <w:r>
        <w:t xml:space="preserve"> de Bogotá D.C.</w:t>
      </w:r>
    </w:p>
    <w:tbl>
      <w:tblPr>
        <w:tblW w:w="4700" w:type="dxa"/>
        <w:jc w:val="center"/>
        <w:tblLook w:val="04A0" w:firstRow="1" w:lastRow="0" w:firstColumn="1" w:lastColumn="0" w:noHBand="0" w:noVBand="1"/>
      </w:tblPr>
      <w:tblGrid>
        <w:gridCol w:w="2293"/>
        <w:gridCol w:w="2407"/>
      </w:tblGrid>
      <w:tr w:rsidRPr="00D11C96" w:rsidR="00772695" w:rsidTr="00772695" w14:paraId="19280D43" w14:textId="77777777">
        <w:trPr>
          <w:trHeight w:val="188"/>
          <w:jc w:val="center"/>
        </w:trPr>
        <w:tc>
          <w:tcPr>
            <w:tcW w:w="4700" w:type="dxa"/>
            <w:gridSpan w:val="2"/>
            <w:tcBorders>
              <w:top w:val="single" w:color="auto" w:sz="4" w:space="0"/>
              <w:left w:val="single" w:color="auto" w:sz="4" w:space="0"/>
              <w:bottom w:val="single" w:color="auto" w:sz="4" w:space="0"/>
              <w:right w:val="single" w:color="auto" w:sz="4" w:space="0"/>
            </w:tcBorders>
            <w:noWrap/>
            <w:vAlign w:val="bottom"/>
            <w:hideMark/>
          </w:tcPr>
          <w:p w:rsidRPr="00D11C96" w:rsidR="00772695" w:rsidP="00B2467E" w:rsidRDefault="00772695" w14:paraId="3071CF3C" w14:textId="77777777">
            <w:pPr>
              <w:spacing w:after="0" w:line="240" w:lineRule="auto"/>
              <w:jc w:val="center"/>
              <w:rPr>
                <w:rFonts w:ascii="Garamond" w:hAnsi="Garamond"/>
                <w:sz w:val="22"/>
                <w:szCs w:val="22"/>
              </w:rPr>
            </w:pPr>
            <w:r w:rsidRPr="00D11C96">
              <w:rPr>
                <w:rFonts w:ascii="Garamond" w:hAnsi="Garamond"/>
                <w:sz w:val="22"/>
                <w:szCs w:val="22"/>
              </w:rPr>
              <w:t>Clase y categoría del suelo de Bogotá D.C.</w:t>
            </w:r>
          </w:p>
        </w:tc>
      </w:tr>
      <w:tr w:rsidRPr="00D11C96" w:rsidR="00772695" w:rsidTr="002E1E34" w14:paraId="780CBFE1" w14:textId="77777777">
        <w:trPr>
          <w:trHeight w:val="300"/>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30917C5D" w14:textId="77777777">
            <w:pPr>
              <w:spacing w:after="0" w:line="240" w:lineRule="auto"/>
              <w:jc w:val="center"/>
              <w:rPr>
                <w:rFonts w:ascii="Garamond" w:hAnsi="Garamond"/>
                <w:sz w:val="22"/>
                <w:szCs w:val="22"/>
              </w:rPr>
            </w:pPr>
            <w:r w:rsidRPr="00D11C96">
              <w:rPr>
                <w:rFonts w:ascii="Garamond" w:hAnsi="Garamond"/>
                <w:sz w:val="22"/>
                <w:szCs w:val="22"/>
              </w:rPr>
              <w:t>Clase / Categoría</w:t>
            </w:r>
          </w:p>
        </w:tc>
        <w:tc>
          <w:tcPr>
            <w:tcW w:w="2407" w:type="dxa"/>
            <w:tcBorders>
              <w:top w:val="nil"/>
              <w:left w:val="nil"/>
              <w:bottom w:val="single" w:color="auto" w:sz="4" w:space="0"/>
              <w:right w:val="single" w:color="auto" w:sz="4" w:space="0"/>
            </w:tcBorders>
            <w:noWrap/>
            <w:vAlign w:val="center"/>
            <w:hideMark/>
          </w:tcPr>
          <w:p w:rsidRPr="00D11C96" w:rsidR="00772695" w:rsidP="00B2467E" w:rsidRDefault="00772695" w14:paraId="585CB807" w14:textId="008621FD">
            <w:pPr>
              <w:spacing w:after="0" w:line="240" w:lineRule="auto"/>
              <w:rPr>
                <w:rFonts w:ascii="Garamond" w:hAnsi="Garamond"/>
                <w:sz w:val="22"/>
                <w:szCs w:val="22"/>
              </w:rPr>
            </w:pPr>
            <w:r w:rsidRPr="00D11C96">
              <w:rPr>
                <w:rFonts w:ascii="Garamond" w:hAnsi="Garamond"/>
                <w:sz w:val="22"/>
                <w:szCs w:val="22"/>
              </w:rPr>
              <w:t>Total, Área Sabana (ha)</w:t>
            </w:r>
          </w:p>
        </w:tc>
      </w:tr>
      <w:tr w:rsidRPr="00D11C96" w:rsidR="00772695" w:rsidTr="002E1E34" w14:paraId="67EB874F"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1C2A04B0" w14:textId="77777777">
            <w:pPr>
              <w:spacing w:after="0" w:line="240" w:lineRule="auto"/>
              <w:rPr>
                <w:rFonts w:ascii="Garamond" w:hAnsi="Garamond"/>
                <w:sz w:val="22"/>
                <w:szCs w:val="22"/>
              </w:rPr>
            </w:pPr>
            <w:r w:rsidRPr="00D11C96">
              <w:rPr>
                <w:rFonts w:ascii="Garamond" w:hAnsi="Garamond"/>
                <w:sz w:val="22"/>
                <w:szCs w:val="22"/>
              </w:rPr>
              <w:t>1. Suelo Rural</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1302A7C9" w14:textId="77777777">
            <w:pPr>
              <w:spacing w:after="0" w:line="240" w:lineRule="auto"/>
              <w:jc w:val="right"/>
              <w:rPr>
                <w:rFonts w:ascii="Garamond" w:hAnsi="Garamond"/>
                <w:sz w:val="22"/>
                <w:szCs w:val="22"/>
              </w:rPr>
            </w:pPr>
            <w:r w:rsidRPr="00D11C96">
              <w:rPr>
                <w:rFonts w:ascii="Garamond" w:hAnsi="Garamond"/>
                <w:sz w:val="22"/>
                <w:szCs w:val="22"/>
              </w:rPr>
              <w:t>378868.3</w:t>
            </w:r>
          </w:p>
        </w:tc>
      </w:tr>
      <w:tr w:rsidRPr="00D11C96" w:rsidR="00772695" w:rsidTr="002E1E34" w14:paraId="6B8BF1A4"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51B2D1DE" w14:textId="77777777">
            <w:pPr>
              <w:spacing w:after="0" w:line="240" w:lineRule="auto"/>
              <w:rPr>
                <w:rFonts w:ascii="Garamond" w:hAnsi="Garamond"/>
                <w:sz w:val="22"/>
                <w:szCs w:val="22"/>
              </w:rPr>
            </w:pPr>
            <w:r w:rsidRPr="00D11C96">
              <w:rPr>
                <w:rFonts w:ascii="Garamond" w:hAnsi="Garamond"/>
                <w:sz w:val="22"/>
                <w:szCs w:val="22"/>
              </w:rPr>
              <w:t xml:space="preserve">   1.1 Suelo Protección</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542A0844" w14:textId="77777777">
            <w:pPr>
              <w:spacing w:after="0" w:line="240" w:lineRule="auto"/>
              <w:jc w:val="right"/>
              <w:rPr>
                <w:rFonts w:ascii="Garamond" w:hAnsi="Garamond"/>
                <w:sz w:val="22"/>
                <w:szCs w:val="22"/>
              </w:rPr>
            </w:pPr>
            <w:r w:rsidRPr="00D11C96">
              <w:rPr>
                <w:rFonts w:ascii="Garamond" w:hAnsi="Garamond"/>
                <w:sz w:val="22"/>
                <w:szCs w:val="22"/>
              </w:rPr>
              <w:t>152076.7</w:t>
            </w:r>
          </w:p>
        </w:tc>
      </w:tr>
      <w:tr w:rsidRPr="00D11C96" w:rsidR="00772695" w:rsidTr="002E1E34" w14:paraId="0A688DB4"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72C211B8" w14:textId="77777777">
            <w:pPr>
              <w:spacing w:after="0" w:line="240" w:lineRule="auto"/>
              <w:rPr>
                <w:rFonts w:ascii="Garamond" w:hAnsi="Garamond"/>
                <w:sz w:val="22"/>
                <w:szCs w:val="22"/>
              </w:rPr>
            </w:pPr>
            <w:r w:rsidRPr="00D11C96">
              <w:rPr>
                <w:rFonts w:ascii="Garamond" w:hAnsi="Garamond"/>
                <w:sz w:val="22"/>
                <w:szCs w:val="22"/>
              </w:rPr>
              <w:t xml:space="preserve">   1.2 Suelo Restringido</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1A2EA47A" w14:textId="77777777">
            <w:pPr>
              <w:spacing w:after="0" w:line="240" w:lineRule="auto"/>
              <w:jc w:val="right"/>
              <w:rPr>
                <w:rFonts w:ascii="Garamond" w:hAnsi="Garamond"/>
                <w:sz w:val="22"/>
                <w:szCs w:val="22"/>
              </w:rPr>
            </w:pPr>
            <w:r w:rsidRPr="00D11C96">
              <w:rPr>
                <w:rFonts w:ascii="Garamond" w:hAnsi="Garamond"/>
                <w:sz w:val="22"/>
                <w:szCs w:val="22"/>
              </w:rPr>
              <w:t>25529.0</w:t>
            </w:r>
          </w:p>
        </w:tc>
      </w:tr>
      <w:tr w:rsidRPr="00D11C96" w:rsidR="00772695" w:rsidTr="002E1E34" w14:paraId="735AA4E7"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6810DA66" w14:textId="77777777">
            <w:pPr>
              <w:spacing w:after="0" w:line="240" w:lineRule="auto"/>
              <w:rPr>
                <w:rFonts w:ascii="Garamond" w:hAnsi="Garamond"/>
                <w:sz w:val="22"/>
                <w:szCs w:val="22"/>
              </w:rPr>
            </w:pPr>
            <w:r w:rsidRPr="00D11C96">
              <w:rPr>
                <w:rFonts w:ascii="Garamond" w:hAnsi="Garamond"/>
                <w:sz w:val="22"/>
                <w:szCs w:val="22"/>
              </w:rPr>
              <w:t>2. Suelo Urbano</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69977B1B" w14:textId="77777777">
            <w:pPr>
              <w:spacing w:after="0" w:line="240" w:lineRule="auto"/>
              <w:jc w:val="right"/>
              <w:rPr>
                <w:rFonts w:ascii="Garamond" w:hAnsi="Garamond"/>
                <w:sz w:val="22"/>
                <w:szCs w:val="22"/>
              </w:rPr>
            </w:pPr>
            <w:r w:rsidRPr="00D11C96">
              <w:rPr>
                <w:rFonts w:ascii="Garamond" w:hAnsi="Garamond"/>
                <w:sz w:val="22"/>
                <w:szCs w:val="22"/>
              </w:rPr>
              <w:t>46101.4</w:t>
            </w:r>
          </w:p>
        </w:tc>
      </w:tr>
      <w:tr w:rsidRPr="00D11C96" w:rsidR="00772695" w:rsidTr="002E1E34" w14:paraId="7398AEC9"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777539E9" w14:textId="77777777">
            <w:pPr>
              <w:spacing w:after="0" w:line="240" w:lineRule="auto"/>
              <w:rPr>
                <w:rFonts w:ascii="Garamond" w:hAnsi="Garamond"/>
                <w:sz w:val="22"/>
                <w:szCs w:val="22"/>
              </w:rPr>
            </w:pPr>
            <w:r w:rsidRPr="00D11C96">
              <w:rPr>
                <w:rFonts w:ascii="Garamond" w:hAnsi="Garamond"/>
                <w:sz w:val="22"/>
                <w:szCs w:val="22"/>
              </w:rPr>
              <w:t>3. Suelo Expansión</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673B938E" w14:textId="77777777">
            <w:pPr>
              <w:spacing w:after="0" w:line="240" w:lineRule="auto"/>
              <w:jc w:val="right"/>
              <w:rPr>
                <w:rFonts w:ascii="Garamond" w:hAnsi="Garamond"/>
                <w:sz w:val="22"/>
                <w:szCs w:val="22"/>
              </w:rPr>
            </w:pPr>
            <w:r w:rsidRPr="00D11C96">
              <w:rPr>
                <w:rFonts w:ascii="Garamond" w:hAnsi="Garamond"/>
                <w:sz w:val="22"/>
                <w:szCs w:val="22"/>
              </w:rPr>
              <w:t>4573.1</w:t>
            </w:r>
          </w:p>
        </w:tc>
      </w:tr>
      <w:tr w:rsidRPr="00D11C96" w:rsidR="00772695" w:rsidTr="002E1E34" w14:paraId="693A3549" w14:textId="77777777">
        <w:trPr>
          <w:trHeight w:val="288"/>
          <w:jc w:val="center"/>
        </w:trPr>
        <w:tc>
          <w:tcPr>
            <w:tcW w:w="2293" w:type="dxa"/>
            <w:tcBorders>
              <w:top w:val="nil"/>
              <w:left w:val="single" w:color="auto" w:sz="4" w:space="0"/>
              <w:bottom w:val="single" w:color="auto" w:sz="4" w:space="0"/>
              <w:right w:val="single" w:color="auto" w:sz="4" w:space="0"/>
            </w:tcBorders>
            <w:noWrap/>
            <w:vAlign w:val="center"/>
            <w:hideMark/>
          </w:tcPr>
          <w:p w:rsidRPr="00D11C96" w:rsidR="00772695" w:rsidP="00B2467E" w:rsidRDefault="00772695" w14:paraId="43764D0E" w14:textId="77777777">
            <w:pPr>
              <w:spacing w:after="0" w:line="240" w:lineRule="auto"/>
              <w:rPr>
                <w:rFonts w:ascii="Garamond" w:hAnsi="Garamond"/>
                <w:sz w:val="22"/>
                <w:szCs w:val="22"/>
              </w:rPr>
            </w:pPr>
            <w:r w:rsidRPr="00D11C96">
              <w:rPr>
                <w:rFonts w:ascii="Garamond" w:hAnsi="Garamond"/>
                <w:sz w:val="22"/>
                <w:szCs w:val="22"/>
              </w:rPr>
              <w:t>Total</w:t>
            </w:r>
          </w:p>
        </w:tc>
        <w:tc>
          <w:tcPr>
            <w:tcW w:w="2407" w:type="dxa"/>
            <w:tcBorders>
              <w:top w:val="nil"/>
              <w:left w:val="nil"/>
              <w:bottom w:val="single" w:color="auto" w:sz="4" w:space="0"/>
              <w:right w:val="single" w:color="auto" w:sz="4" w:space="0"/>
            </w:tcBorders>
            <w:noWrap/>
            <w:vAlign w:val="bottom"/>
            <w:hideMark/>
          </w:tcPr>
          <w:p w:rsidRPr="00D11C96" w:rsidR="00772695" w:rsidP="00B2467E" w:rsidRDefault="00772695" w14:paraId="2C76EBA0" w14:textId="77777777">
            <w:pPr>
              <w:spacing w:after="0" w:line="240" w:lineRule="auto"/>
              <w:jc w:val="right"/>
              <w:rPr>
                <w:rFonts w:ascii="Garamond" w:hAnsi="Garamond"/>
                <w:sz w:val="22"/>
                <w:szCs w:val="22"/>
              </w:rPr>
            </w:pPr>
            <w:r w:rsidRPr="00D11C96">
              <w:rPr>
                <w:rFonts w:ascii="Garamond" w:hAnsi="Garamond"/>
                <w:sz w:val="22"/>
                <w:szCs w:val="22"/>
              </w:rPr>
              <w:t>429542.8</w:t>
            </w:r>
          </w:p>
        </w:tc>
      </w:tr>
    </w:tbl>
    <w:p w:rsidRPr="00D11C96" w:rsidR="00355C16" w:rsidP="00355C16" w:rsidRDefault="00355C16" w14:paraId="1A894EE7" w14:textId="472957A1">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r>
        <w:rPr>
          <w:rFonts w:ascii="Garamond" w:hAnsi="Garamond"/>
          <w:sz w:val="22"/>
          <w:szCs w:val="22"/>
        </w:rPr>
        <w:t xml:space="preserve"> con datos del </w:t>
      </w:r>
      <w:r w:rsidR="00FF7FB8">
        <w:rPr>
          <w:rFonts w:ascii="Garamond" w:hAnsi="Garamond"/>
          <w:sz w:val="22"/>
          <w:szCs w:val="22"/>
        </w:rPr>
        <w:t>Decreto 555 de 2021.</w:t>
      </w:r>
    </w:p>
    <w:p w:rsidRPr="00D11C96" w:rsidR="00B2467E" w:rsidP="00B2467E" w:rsidRDefault="00B2467E" w14:paraId="5207731D" w14:textId="23BCF9DB">
      <w:pPr>
        <w:jc w:val="both"/>
        <w:rPr>
          <w:rFonts w:ascii="Garamond" w:hAnsi="Garamond"/>
          <w:sz w:val="16"/>
          <w:szCs w:val="16"/>
        </w:rPr>
      </w:pPr>
      <w:r w:rsidRPr="00D11C96">
        <w:rPr>
          <w:rFonts w:ascii="Garamond" w:hAnsi="Garamond"/>
          <w:sz w:val="16"/>
          <w:szCs w:val="16"/>
        </w:rPr>
        <w:t>Nota: Existe una diferencia de 586.01 ha entre el hectareaje total de la clasificación del suelo rural de Bogotá y el área del suelo rural calculada, debido a superposición de coberturas.</w:t>
      </w:r>
    </w:p>
    <w:p w:rsidRPr="00D11C96" w:rsidR="00B2467E" w:rsidP="00B2467E" w:rsidRDefault="00B2467E" w14:paraId="1999E790" w14:textId="18DEF54A">
      <w:pPr>
        <w:jc w:val="both"/>
        <w:rPr>
          <w:rFonts w:ascii="Garamond" w:hAnsi="Garamond"/>
          <w:sz w:val="22"/>
          <w:szCs w:val="22"/>
        </w:rPr>
      </w:pPr>
      <w:r w:rsidRPr="00D11C96">
        <w:rPr>
          <w:rFonts w:ascii="Garamond" w:hAnsi="Garamond"/>
          <w:sz w:val="22"/>
          <w:szCs w:val="22"/>
        </w:rPr>
        <w:t xml:space="preserve">Esta distribución se contrasta con el área actual ocupada por huella construida (Google </w:t>
      </w:r>
      <w:proofErr w:type="spellStart"/>
      <w:r w:rsidRPr="00D11C96">
        <w:rPr>
          <w:rFonts w:ascii="Garamond" w:hAnsi="Garamond"/>
          <w:sz w:val="22"/>
          <w:szCs w:val="22"/>
        </w:rPr>
        <w:t>Building</w:t>
      </w:r>
      <w:proofErr w:type="spellEnd"/>
      <w:r w:rsidRPr="00D11C96">
        <w:rPr>
          <w:rFonts w:ascii="Garamond" w:hAnsi="Garamond"/>
          <w:sz w:val="22"/>
          <w:szCs w:val="22"/>
        </w:rPr>
        <w:t xml:space="preserve"> </w:t>
      </w:r>
      <w:proofErr w:type="spellStart"/>
      <w:r w:rsidRPr="00D11C96">
        <w:rPr>
          <w:rFonts w:ascii="Garamond" w:hAnsi="Garamond"/>
          <w:sz w:val="22"/>
          <w:szCs w:val="22"/>
        </w:rPr>
        <w:t>Footprint</w:t>
      </w:r>
      <w:proofErr w:type="spellEnd"/>
      <w:r w:rsidRPr="00D11C96">
        <w:rPr>
          <w:rFonts w:ascii="Garamond" w:hAnsi="Garamond"/>
          <w:sz w:val="22"/>
          <w:szCs w:val="22"/>
        </w:rPr>
        <w:t>), con la cual se estiman los totales de huella construida para la Sabana de Bogotá por clase de suelo, evidenciando un total de al menos 23.470,6 ha construidas.</w:t>
      </w:r>
    </w:p>
    <w:p w:rsidR="005F52A4" w:rsidP="005F52A4" w:rsidRDefault="005F52A4" w14:paraId="3EBBEA9E" w14:textId="6BCA41AA">
      <w:pPr>
        <w:pStyle w:val="Caption"/>
        <w:keepNext/>
        <w:jc w:val="center"/>
      </w:pPr>
      <w:r>
        <w:t xml:space="preserve">Tabla </w:t>
      </w:r>
      <w:r>
        <w:fldChar w:fldCharType="begin"/>
      </w:r>
      <w:r>
        <w:instrText xml:space="preserve"> SEQ Tabla \* ARABIC </w:instrText>
      </w:r>
      <w:r>
        <w:fldChar w:fldCharType="separate"/>
      </w:r>
      <w:r w:rsidR="006E2525">
        <w:rPr>
          <w:noProof/>
        </w:rPr>
        <w:t>3</w:t>
      </w:r>
      <w:r>
        <w:fldChar w:fldCharType="end"/>
      </w:r>
      <w:r>
        <w:t xml:space="preserve">. Huella </w:t>
      </w:r>
      <w:proofErr w:type="spellStart"/>
      <w:r>
        <w:t>contruida</w:t>
      </w:r>
      <w:proofErr w:type="spellEnd"/>
      <w:r>
        <w:t xml:space="preserve"> por </w:t>
      </w:r>
      <w:r w:rsidRPr="00525297">
        <w:t>Clases/categorías del suelo de Bogotá D.C.</w:t>
      </w:r>
    </w:p>
    <w:tbl>
      <w:tblPr>
        <w:tblW w:w="5500" w:type="dxa"/>
        <w:jc w:val="center"/>
        <w:tblLook w:val="04A0" w:firstRow="1" w:lastRow="0" w:firstColumn="1" w:lastColumn="0" w:noHBand="0" w:noVBand="1"/>
      </w:tblPr>
      <w:tblGrid>
        <w:gridCol w:w="3922"/>
        <w:gridCol w:w="1578"/>
      </w:tblGrid>
      <w:tr w:rsidRPr="00D11C96" w:rsidR="00B2467E" w:rsidTr="002E1E34" w14:paraId="233BF682" w14:textId="77777777">
        <w:trPr>
          <w:trHeight w:val="288"/>
          <w:jc w:val="center"/>
        </w:trPr>
        <w:tc>
          <w:tcPr>
            <w:tcW w:w="5500" w:type="dxa"/>
            <w:gridSpan w:val="2"/>
            <w:tcBorders>
              <w:top w:val="single" w:color="auto" w:sz="4" w:space="0"/>
              <w:left w:val="single" w:color="auto" w:sz="4" w:space="0"/>
              <w:bottom w:val="single" w:color="auto" w:sz="4" w:space="0"/>
              <w:right w:val="single" w:color="000000" w:sz="4" w:space="0"/>
            </w:tcBorders>
            <w:noWrap/>
            <w:vAlign w:val="center"/>
            <w:hideMark/>
          </w:tcPr>
          <w:p w:rsidRPr="00D11C96" w:rsidR="00B2467E" w:rsidP="00B2467E" w:rsidRDefault="00B2467E" w14:paraId="40554B71" w14:textId="77777777">
            <w:pPr>
              <w:spacing w:after="0" w:line="240" w:lineRule="auto"/>
              <w:jc w:val="center"/>
              <w:rPr>
                <w:rFonts w:ascii="Garamond" w:hAnsi="Garamond"/>
                <w:b/>
                <w:bCs/>
                <w:sz w:val="22"/>
                <w:szCs w:val="22"/>
              </w:rPr>
            </w:pPr>
            <w:proofErr w:type="spellStart"/>
            <w:r w:rsidRPr="00D11C96">
              <w:rPr>
                <w:rFonts w:ascii="Garamond" w:hAnsi="Garamond"/>
                <w:b/>
                <w:bCs/>
                <w:sz w:val="22"/>
                <w:szCs w:val="22"/>
              </w:rPr>
              <w:t>Building</w:t>
            </w:r>
            <w:proofErr w:type="spellEnd"/>
            <w:r w:rsidRPr="00D11C96">
              <w:rPr>
                <w:rFonts w:ascii="Garamond" w:hAnsi="Garamond"/>
                <w:b/>
                <w:bCs/>
                <w:sz w:val="22"/>
                <w:szCs w:val="22"/>
              </w:rPr>
              <w:t xml:space="preserve"> </w:t>
            </w:r>
            <w:proofErr w:type="spellStart"/>
            <w:r w:rsidRPr="00D11C96">
              <w:rPr>
                <w:rFonts w:ascii="Garamond" w:hAnsi="Garamond"/>
                <w:b/>
                <w:bCs/>
                <w:sz w:val="22"/>
                <w:szCs w:val="22"/>
              </w:rPr>
              <w:t>Footprint</w:t>
            </w:r>
            <w:proofErr w:type="spellEnd"/>
            <w:r w:rsidRPr="00D11C96">
              <w:rPr>
                <w:rFonts w:ascii="Garamond" w:hAnsi="Garamond"/>
                <w:b/>
                <w:bCs/>
                <w:sz w:val="22"/>
                <w:szCs w:val="22"/>
              </w:rPr>
              <w:t xml:space="preserve"> por Clasificación del Suelo de la Sabana</w:t>
            </w:r>
          </w:p>
        </w:tc>
      </w:tr>
      <w:tr w:rsidRPr="00D11C96" w:rsidR="00B2467E" w:rsidTr="002E1E34" w14:paraId="2046D404"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4E6CA581" w14:textId="77777777">
            <w:pPr>
              <w:spacing w:after="0" w:line="240" w:lineRule="auto"/>
              <w:jc w:val="center"/>
              <w:rPr>
                <w:rFonts w:ascii="Garamond" w:hAnsi="Garamond"/>
                <w:sz w:val="22"/>
                <w:szCs w:val="22"/>
              </w:rPr>
            </w:pPr>
            <w:r w:rsidRPr="00D11C96">
              <w:rPr>
                <w:rFonts w:ascii="Garamond" w:hAnsi="Garamond"/>
                <w:sz w:val="22"/>
                <w:szCs w:val="22"/>
              </w:rPr>
              <w:t>Clase / Categoría</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39161C42" w14:textId="77777777">
            <w:pPr>
              <w:spacing w:after="0" w:line="240" w:lineRule="auto"/>
              <w:jc w:val="center"/>
              <w:rPr>
                <w:rFonts w:ascii="Garamond" w:hAnsi="Garamond"/>
                <w:sz w:val="22"/>
                <w:szCs w:val="22"/>
              </w:rPr>
            </w:pPr>
            <w:r w:rsidRPr="00D11C96">
              <w:rPr>
                <w:rFonts w:ascii="Garamond" w:hAnsi="Garamond"/>
                <w:sz w:val="22"/>
                <w:szCs w:val="22"/>
              </w:rPr>
              <w:t>Área ha</w:t>
            </w:r>
          </w:p>
        </w:tc>
      </w:tr>
      <w:tr w:rsidRPr="00D11C96" w:rsidR="00B2467E" w:rsidTr="002E1E34" w14:paraId="21BEE9AE"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58404E3B" w14:textId="77777777">
            <w:pPr>
              <w:spacing w:after="0" w:line="240" w:lineRule="auto"/>
              <w:rPr>
                <w:rFonts w:ascii="Garamond" w:hAnsi="Garamond"/>
                <w:sz w:val="22"/>
                <w:szCs w:val="22"/>
              </w:rPr>
            </w:pPr>
            <w:r w:rsidRPr="00D11C96">
              <w:rPr>
                <w:rFonts w:ascii="Garamond" w:hAnsi="Garamond"/>
                <w:sz w:val="22"/>
                <w:szCs w:val="22"/>
              </w:rPr>
              <w:t>1. Suelo Rural</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360610CA" w14:textId="77777777">
            <w:pPr>
              <w:spacing w:after="0" w:line="240" w:lineRule="auto"/>
              <w:rPr>
                <w:rFonts w:ascii="Garamond" w:hAnsi="Garamond"/>
                <w:sz w:val="22"/>
                <w:szCs w:val="22"/>
              </w:rPr>
            </w:pPr>
            <w:r w:rsidRPr="00D11C96">
              <w:rPr>
                <w:rFonts w:ascii="Garamond" w:hAnsi="Garamond"/>
                <w:sz w:val="22"/>
                <w:szCs w:val="22"/>
              </w:rPr>
              <w:t>8770.3</w:t>
            </w:r>
          </w:p>
        </w:tc>
      </w:tr>
      <w:tr w:rsidRPr="00D11C96" w:rsidR="00B2467E" w:rsidTr="002E1E34" w14:paraId="0DB840B6"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341778F3" w14:textId="77777777">
            <w:pPr>
              <w:spacing w:after="0" w:line="240" w:lineRule="auto"/>
              <w:rPr>
                <w:rFonts w:ascii="Garamond" w:hAnsi="Garamond"/>
                <w:sz w:val="22"/>
                <w:szCs w:val="22"/>
              </w:rPr>
            </w:pPr>
            <w:r w:rsidRPr="00D11C96">
              <w:rPr>
                <w:rFonts w:ascii="Garamond" w:hAnsi="Garamond"/>
                <w:sz w:val="22"/>
                <w:szCs w:val="22"/>
              </w:rPr>
              <w:t xml:space="preserve">   1.1 Suelo Protección</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0387D9B9" w14:textId="77777777">
            <w:pPr>
              <w:spacing w:after="0" w:line="240" w:lineRule="auto"/>
              <w:rPr>
                <w:rFonts w:ascii="Garamond" w:hAnsi="Garamond"/>
                <w:sz w:val="22"/>
                <w:szCs w:val="22"/>
              </w:rPr>
            </w:pPr>
            <w:r w:rsidRPr="00D11C96">
              <w:rPr>
                <w:rFonts w:ascii="Garamond" w:hAnsi="Garamond"/>
                <w:sz w:val="22"/>
                <w:szCs w:val="22"/>
              </w:rPr>
              <w:t>1085.5</w:t>
            </w:r>
          </w:p>
        </w:tc>
      </w:tr>
      <w:tr w:rsidRPr="00D11C96" w:rsidR="00B2467E" w:rsidTr="002E1E34" w14:paraId="3A742962"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709749ED" w14:textId="77777777">
            <w:pPr>
              <w:spacing w:after="0" w:line="240" w:lineRule="auto"/>
              <w:rPr>
                <w:rFonts w:ascii="Garamond" w:hAnsi="Garamond"/>
                <w:sz w:val="22"/>
                <w:szCs w:val="22"/>
              </w:rPr>
            </w:pPr>
            <w:r w:rsidRPr="00D11C96">
              <w:rPr>
                <w:rFonts w:ascii="Garamond" w:hAnsi="Garamond"/>
                <w:sz w:val="22"/>
                <w:szCs w:val="22"/>
              </w:rPr>
              <w:t xml:space="preserve">   1.2 Suelo Restringido</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76FBF1B2" w14:textId="77777777">
            <w:pPr>
              <w:spacing w:after="0" w:line="240" w:lineRule="auto"/>
              <w:rPr>
                <w:rFonts w:ascii="Garamond" w:hAnsi="Garamond"/>
                <w:sz w:val="22"/>
                <w:szCs w:val="22"/>
              </w:rPr>
            </w:pPr>
            <w:r w:rsidRPr="00D11C96">
              <w:rPr>
                <w:rFonts w:ascii="Garamond" w:hAnsi="Garamond"/>
                <w:sz w:val="22"/>
                <w:szCs w:val="22"/>
              </w:rPr>
              <w:t>1505.0</w:t>
            </w:r>
          </w:p>
        </w:tc>
      </w:tr>
      <w:tr w:rsidRPr="00D11C96" w:rsidR="00B2467E" w:rsidTr="002E1E34" w14:paraId="7A534A37"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156467DA" w14:textId="77777777">
            <w:pPr>
              <w:spacing w:after="0" w:line="240" w:lineRule="auto"/>
              <w:rPr>
                <w:rFonts w:ascii="Garamond" w:hAnsi="Garamond"/>
                <w:sz w:val="22"/>
                <w:szCs w:val="22"/>
              </w:rPr>
            </w:pPr>
            <w:r w:rsidRPr="00D11C96">
              <w:rPr>
                <w:rFonts w:ascii="Garamond" w:hAnsi="Garamond"/>
                <w:sz w:val="22"/>
                <w:szCs w:val="22"/>
              </w:rPr>
              <w:t>2. Suelo Urbano</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47F0C21A" w14:textId="77777777">
            <w:pPr>
              <w:spacing w:after="0" w:line="240" w:lineRule="auto"/>
              <w:rPr>
                <w:rFonts w:ascii="Garamond" w:hAnsi="Garamond"/>
                <w:sz w:val="22"/>
                <w:szCs w:val="22"/>
              </w:rPr>
            </w:pPr>
            <w:r w:rsidRPr="00D11C96">
              <w:rPr>
                <w:rFonts w:ascii="Garamond" w:hAnsi="Garamond"/>
                <w:sz w:val="22"/>
                <w:szCs w:val="22"/>
              </w:rPr>
              <w:t>14134.0</w:t>
            </w:r>
          </w:p>
        </w:tc>
      </w:tr>
      <w:tr w:rsidRPr="00D11C96" w:rsidR="00B2467E" w:rsidTr="002E1E34" w14:paraId="4B182FDA"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685319F6" w14:textId="77777777">
            <w:pPr>
              <w:spacing w:after="0" w:line="240" w:lineRule="auto"/>
              <w:rPr>
                <w:rFonts w:ascii="Garamond" w:hAnsi="Garamond"/>
                <w:sz w:val="22"/>
                <w:szCs w:val="22"/>
              </w:rPr>
            </w:pPr>
            <w:r w:rsidRPr="00D11C96">
              <w:rPr>
                <w:rFonts w:ascii="Garamond" w:hAnsi="Garamond"/>
                <w:sz w:val="22"/>
                <w:szCs w:val="22"/>
              </w:rPr>
              <w:t>3. Suelo Expansión</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5717E77B" w14:textId="77777777">
            <w:pPr>
              <w:spacing w:after="0" w:line="240" w:lineRule="auto"/>
              <w:rPr>
                <w:rFonts w:ascii="Garamond" w:hAnsi="Garamond"/>
                <w:sz w:val="22"/>
                <w:szCs w:val="22"/>
              </w:rPr>
            </w:pPr>
            <w:r w:rsidRPr="00D11C96">
              <w:rPr>
                <w:rFonts w:ascii="Garamond" w:hAnsi="Garamond"/>
                <w:sz w:val="22"/>
                <w:szCs w:val="22"/>
              </w:rPr>
              <w:t>566.4</w:t>
            </w:r>
          </w:p>
        </w:tc>
      </w:tr>
      <w:tr w:rsidRPr="00D11C96" w:rsidR="00B2467E" w:rsidTr="002E1E34" w14:paraId="53BD9348" w14:textId="77777777">
        <w:trPr>
          <w:trHeight w:val="288"/>
          <w:jc w:val="center"/>
        </w:trPr>
        <w:tc>
          <w:tcPr>
            <w:tcW w:w="3922" w:type="dxa"/>
            <w:tcBorders>
              <w:top w:val="nil"/>
              <w:left w:val="single" w:color="auto" w:sz="4" w:space="0"/>
              <w:bottom w:val="single" w:color="auto" w:sz="4" w:space="0"/>
              <w:right w:val="single" w:color="auto" w:sz="4" w:space="0"/>
            </w:tcBorders>
            <w:noWrap/>
            <w:vAlign w:val="center"/>
            <w:hideMark/>
          </w:tcPr>
          <w:p w:rsidRPr="00D11C96" w:rsidR="00B2467E" w:rsidP="00B2467E" w:rsidRDefault="00B2467E" w14:paraId="79F093AF" w14:textId="77777777">
            <w:pPr>
              <w:spacing w:after="0" w:line="240" w:lineRule="auto"/>
              <w:rPr>
                <w:rFonts w:ascii="Garamond" w:hAnsi="Garamond"/>
                <w:sz w:val="22"/>
                <w:szCs w:val="22"/>
              </w:rPr>
            </w:pPr>
            <w:r w:rsidRPr="00D11C96">
              <w:rPr>
                <w:rFonts w:ascii="Garamond" w:hAnsi="Garamond"/>
                <w:sz w:val="22"/>
                <w:szCs w:val="22"/>
              </w:rPr>
              <w:t>Total</w:t>
            </w:r>
          </w:p>
        </w:tc>
        <w:tc>
          <w:tcPr>
            <w:tcW w:w="1578" w:type="dxa"/>
            <w:tcBorders>
              <w:top w:val="nil"/>
              <w:left w:val="nil"/>
              <w:bottom w:val="single" w:color="auto" w:sz="4" w:space="0"/>
              <w:right w:val="single" w:color="auto" w:sz="4" w:space="0"/>
            </w:tcBorders>
            <w:noWrap/>
            <w:vAlign w:val="center"/>
            <w:hideMark/>
          </w:tcPr>
          <w:p w:rsidRPr="00D11C96" w:rsidR="00B2467E" w:rsidP="00B2467E" w:rsidRDefault="00B2467E" w14:paraId="1D5EAA72" w14:textId="77777777">
            <w:pPr>
              <w:spacing w:after="0" w:line="240" w:lineRule="auto"/>
              <w:rPr>
                <w:rFonts w:ascii="Garamond" w:hAnsi="Garamond"/>
                <w:sz w:val="22"/>
                <w:szCs w:val="22"/>
              </w:rPr>
            </w:pPr>
            <w:r w:rsidRPr="00D11C96">
              <w:rPr>
                <w:rFonts w:ascii="Garamond" w:hAnsi="Garamond"/>
                <w:sz w:val="22"/>
                <w:szCs w:val="22"/>
              </w:rPr>
              <w:t>23470.6</w:t>
            </w:r>
          </w:p>
        </w:tc>
      </w:tr>
    </w:tbl>
    <w:p w:rsidRPr="00D11C96" w:rsidR="005F52A4" w:rsidP="005F52A4" w:rsidRDefault="005F52A4" w14:paraId="5C36D880" w14:textId="61CF7178">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r>
        <w:rPr>
          <w:rFonts w:ascii="Garamond" w:hAnsi="Garamond"/>
          <w:sz w:val="22"/>
          <w:szCs w:val="22"/>
        </w:rPr>
        <w:t xml:space="preserve"> con datos de</w:t>
      </w:r>
      <w:r w:rsidR="00080D37">
        <w:rPr>
          <w:rFonts w:ascii="Garamond" w:hAnsi="Garamond"/>
          <w:sz w:val="22"/>
          <w:szCs w:val="22"/>
        </w:rPr>
        <w:t xml:space="preserve"> la CAR (2025) </w:t>
      </w:r>
      <w:r>
        <w:rPr>
          <w:rFonts w:ascii="Garamond" w:hAnsi="Garamond"/>
          <w:sz w:val="22"/>
          <w:szCs w:val="22"/>
        </w:rPr>
        <w:t xml:space="preserve">y Google </w:t>
      </w:r>
      <w:proofErr w:type="spellStart"/>
      <w:r>
        <w:rPr>
          <w:rFonts w:ascii="Garamond" w:hAnsi="Garamond"/>
          <w:sz w:val="22"/>
          <w:szCs w:val="22"/>
        </w:rPr>
        <w:t>Building</w:t>
      </w:r>
      <w:proofErr w:type="spellEnd"/>
      <w:r>
        <w:rPr>
          <w:rFonts w:ascii="Garamond" w:hAnsi="Garamond"/>
          <w:sz w:val="22"/>
          <w:szCs w:val="22"/>
        </w:rPr>
        <w:t xml:space="preserve"> </w:t>
      </w:r>
      <w:proofErr w:type="spellStart"/>
      <w:r>
        <w:rPr>
          <w:rFonts w:ascii="Garamond" w:hAnsi="Garamond"/>
          <w:sz w:val="22"/>
          <w:szCs w:val="22"/>
        </w:rPr>
        <w:t>Footprint</w:t>
      </w:r>
      <w:proofErr w:type="spellEnd"/>
      <w:r>
        <w:rPr>
          <w:rFonts w:ascii="Garamond" w:hAnsi="Garamond"/>
          <w:sz w:val="22"/>
          <w:szCs w:val="22"/>
        </w:rPr>
        <w:t xml:space="preserve"> (2025).</w:t>
      </w:r>
    </w:p>
    <w:p w:rsidRPr="00D11C96" w:rsidR="00772695" w:rsidP="00573EDC" w:rsidRDefault="00210575" w14:paraId="4537F5B5" w14:textId="0AA32650">
      <w:pPr>
        <w:jc w:val="both"/>
        <w:rPr>
          <w:rFonts w:ascii="Garamond" w:hAnsi="Garamond"/>
          <w:sz w:val="22"/>
          <w:szCs w:val="22"/>
        </w:rPr>
      </w:pPr>
      <w:r w:rsidRPr="00D11C96">
        <w:rPr>
          <w:rFonts w:ascii="Garamond" w:hAnsi="Garamond"/>
          <w:sz w:val="22"/>
          <w:szCs w:val="22"/>
        </w:rPr>
        <w:t>De acuerdo con lo anterior, e</w:t>
      </w:r>
      <w:r w:rsidRPr="00D11C96" w:rsidR="00B2467E">
        <w:rPr>
          <w:rFonts w:ascii="Garamond" w:hAnsi="Garamond"/>
          <w:sz w:val="22"/>
          <w:szCs w:val="22"/>
        </w:rPr>
        <w:t xml:space="preserve">l total de hectareaje </w:t>
      </w:r>
      <w:r w:rsidRPr="00D11C96">
        <w:rPr>
          <w:rFonts w:ascii="Garamond" w:hAnsi="Garamond"/>
          <w:sz w:val="22"/>
          <w:szCs w:val="22"/>
        </w:rPr>
        <w:t>construido</w:t>
      </w:r>
      <w:r w:rsidRPr="00D11C96" w:rsidR="00772695">
        <w:rPr>
          <w:rFonts w:ascii="Garamond" w:hAnsi="Garamond"/>
          <w:sz w:val="22"/>
          <w:szCs w:val="22"/>
        </w:rPr>
        <w:t xml:space="preserve"> </w:t>
      </w:r>
      <w:r w:rsidRPr="00D11C96" w:rsidR="00B2467E">
        <w:rPr>
          <w:rFonts w:ascii="Garamond" w:hAnsi="Garamond"/>
          <w:sz w:val="22"/>
          <w:szCs w:val="22"/>
        </w:rPr>
        <w:t>se contrast</w:t>
      </w:r>
      <w:r w:rsidRPr="00D11C96">
        <w:rPr>
          <w:rFonts w:ascii="Garamond" w:hAnsi="Garamond"/>
          <w:sz w:val="22"/>
          <w:szCs w:val="22"/>
        </w:rPr>
        <w:t>a</w:t>
      </w:r>
      <w:r w:rsidRPr="00D11C96" w:rsidR="00B2467E">
        <w:rPr>
          <w:rFonts w:ascii="Garamond" w:hAnsi="Garamond"/>
          <w:sz w:val="22"/>
          <w:szCs w:val="22"/>
        </w:rPr>
        <w:t xml:space="preserve"> con</w:t>
      </w:r>
      <w:r w:rsidRPr="00D11C96" w:rsidR="00772695">
        <w:rPr>
          <w:rFonts w:ascii="Garamond" w:hAnsi="Garamond"/>
          <w:sz w:val="22"/>
          <w:szCs w:val="22"/>
        </w:rPr>
        <w:t xml:space="preserve"> </w:t>
      </w:r>
      <w:r w:rsidRPr="00D11C96">
        <w:rPr>
          <w:rFonts w:ascii="Garamond" w:hAnsi="Garamond"/>
          <w:sz w:val="22"/>
          <w:szCs w:val="22"/>
        </w:rPr>
        <w:t xml:space="preserve">el total del área </w:t>
      </w:r>
      <w:r w:rsidRPr="00D11C96" w:rsidR="00B2467E">
        <w:rPr>
          <w:rFonts w:ascii="Garamond" w:hAnsi="Garamond"/>
          <w:sz w:val="22"/>
          <w:szCs w:val="22"/>
        </w:rPr>
        <w:t>de</w:t>
      </w:r>
      <w:r w:rsidRPr="00D11C96" w:rsidR="00772695">
        <w:rPr>
          <w:rFonts w:ascii="Garamond" w:hAnsi="Garamond"/>
          <w:sz w:val="22"/>
          <w:szCs w:val="22"/>
        </w:rPr>
        <w:t xml:space="preserve"> suelo de la Sabana de Bogotá </w:t>
      </w:r>
      <w:r w:rsidRPr="00D11C96">
        <w:rPr>
          <w:rFonts w:ascii="Garamond" w:hAnsi="Garamond"/>
          <w:sz w:val="22"/>
          <w:szCs w:val="22"/>
        </w:rPr>
        <w:t>discriminada por clase (y que permite construcción de vivienda), encontrando que 23.637 ha de suelo suburbano se encuentra sin huella construida.</w:t>
      </w:r>
    </w:p>
    <w:p w:rsidR="00B000EB" w:rsidP="00B000EB" w:rsidRDefault="00B000EB" w14:paraId="37E59A27" w14:textId="66FEFDF1">
      <w:pPr>
        <w:pStyle w:val="Caption"/>
        <w:keepNext/>
        <w:jc w:val="center"/>
      </w:pPr>
      <w:r>
        <w:t xml:space="preserve">Tabla </w:t>
      </w:r>
      <w:r>
        <w:fldChar w:fldCharType="begin"/>
      </w:r>
      <w:r>
        <w:instrText xml:space="preserve"> SEQ Tabla \* ARABIC </w:instrText>
      </w:r>
      <w:r>
        <w:fldChar w:fldCharType="separate"/>
      </w:r>
      <w:r w:rsidR="006E2525">
        <w:rPr>
          <w:noProof/>
        </w:rPr>
        <w:t>4</w:t>
      </w:r>
      <w:r>
        <w:fldChar w:fldCharType="end"/>
      </w:r>
      <w:r>
        <w:t>. Área sin huella construida por</w:t>
      </w:r>
      <w:r w:rsidRPr="00F679E7">
        <w:t xml:space="preserve"> Clases/categorías del suelo de</w:t>
      </w:r>
      <w:r>
        <w:t xml:space="preserve"> la Sabana de</w:t>
      </w:r>
      <w:r w:rsidRPr="00F679E7">
        <w:t xml:space="preserve"> Bogotá.</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962"/>
        <w:gridCol w:w="2094"/>
        <w:gridCol w:w="1937"/>
        <w:gridCol w:w="2351"/>
      </w:tblGrid>
      <w:tr w:rsidRPr="00D11C96" w:rsidR="00B2467E" w:rsidTr="00210575" w14:paraId="6C74A503" w14:textId="77777777">
        <w:trPr>
          <w:trHeight w:val="300"/>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622A2E8C" w14:textId="77777777">
            <w:pPr>
              <w:spacing w:after="0" w:line="240" w:lineRule="auto"/>
              <w:jc w:val="center"/>
              <w:rPr>
                <w:rFonts w:ascii="Garamond" w:hAnsi="Garamond"/>
                <w:b/>
                <w:bCs/>
                <w:sz w:val="22"/>
                <w:szCs w:val="22"/>
              </w:rPr>
            </w:pPr>
            <w:r w:rsidRPr="00D11C96">
              <w:rPr>
                <w:rFonts w:ascii="Garamond" w:hAnsi="Garamond"/>
                <w:b/>
                <w:bCs/>
                <w:sz w:val="22"/>
                <w:szCs w:val="22"/>
              </w:rPr>
              <w:t>Categoría</w:t>
            </w:r>
            <w:r w:rsidRPr="00D11C96">
              <w:rPr>
                <w:rFonts w:ascii="Times New Roman" w:hAnsi="Times New Roman" w:cs="Times New Roman"/>
                <w:b/>
                <w:bCs/>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07489B30" w14:textId="77777777">
            <w:pPr>
              <w:spacing w:after="0" w:line="240" w:lineRule="auto"/>
              <w:jc w:val="center"/>
              <w:rPr>
                <w:rFonts w:ascii="Garamond" w:hAnsi="Garamond"/>
                <w:b/>
                <w:bCs/>
                <w:sz w:val="22"/>
                <w:szCs w:val="22"/>
              </w:rPr>
            </w:pPr>
            <w:r w:rsidRPr="00D11C96">
              <w:rPr>
                <w:rFonts w:ascii="Garamond" w:hAnsi="Garamond"/>
                <w:b/>
                <w:bCs/>
                <w:sz w:val="22"/>
                <w:szCs w:val="22"/>
              </w:rPr>
              <w:t>Área de la categoría del suelo</w:t>
            </w:r>
            <w:r w:rsidRPr="00D11C96">
              <w:rPr>
                <w:rFonts w:ascii="Times New Roman" w:hAnsi="Times New Roman" w:cs="Times New Roman"/>
                <w:b/>
                <w:bCs/>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07762A40" w14:textId="77777777">
            <w:pPr>
              <w:spacing w:after="0" w:line="240" w:lineRule="auto"/>
              <w:jc w:val="center"/>
              <w:rPr>
                <w:rFonts w:ascii="Garamond" w:hAnsi="Garamond"/>
                <w:b/>
                <w:bCs/>
                <w:sz w:val="22"/>
                <w:szCs w:val="22"/>
              </w:rPr>
            </w:pPr>
            <w:r w:rsidRPr="00D11C96">
              <w:rPr>
                <w:rFonts w:ascii="Garamond" w:hAnsi="Garamond"/>
                <w:b/>
                <w:bCs/>
                <w:sz w:val="22"/>
                <w:szCs w:val="22"/>
              </w:rPr>
              <w:t>Área Construida</w:t>
            </w:r>
            <w:r w:rsidRPr="00D11C96">
              <w:rPr>
                <w:rFonts w:ascii="Times New Roman" w:hAnsi="Times New Roman" w:cs="Times New Roman"/>
                <w:b/>
                <w:bCs/>
                <w:sz w:val="22"/>
                <w:szCs w:val="22"/>
              </w:rPr>
              <w:t>​</w:t>
            </w:r>
          </w:p>
          <w:p w:rsidRPr="00D11C96" w:rsidR="00B2467E" w:rsidP="00B2467E" w:rsidRDefault="00B2467E" w14:paraId="5B3F9A5D" w14:textId="77777777">
            <w:pPr>
              <w:spacing w:after="0" w:line="240" w:lineRule="auto"/>
              <w:jc w:val="center"/>
              <w:rPr>
                <w:rFonts w:ascii="Garamond" w:hAnsi="Garamond"/>
                <w:b/>
                <w:bCs/>
                <w:sz w:val="22"/>
                <w:szCs w:val="22"/>
              </w:rPr>
            </w:pPr>
            <w:r w:rsidRPr="00D11C96">
              <w:rPr>
                <w:rFonts w:ascii="Garamond" w:hAnsi="Garamond"/>
                <w:b/>
                <w:bCs/>
                <w:sz w:val="22"/>
                <w:szCs w:val="22"/>
              </w:rPr>
              <w:t>(</w:t>
            </w:r>
            <w:proofErr w:type="spellStart"/>
            <w:r w:rsidRPr="00D11C96">
              <w:rPr>
                <w:rFonts w:ascii="Garamond" w:hAnsi="Garamond"/>
                <w:b/>
                <w:bCs/>
                <w:sz w:val="22"/>
                <w:szCs w:val="22"/>
              </w:rPr>
              <w:t>Building</w:t>
            </w:r>
            <w:proofErr w:type="spellEnd"/>
            <w:r w:rsidRPr="00D11C96">
              <w:rPr>
                <w:rFonts w:ascii="Garamond" w:hAnsi="Garamond"/>
                <w:b/>
                <w:bCs/>
                <w:sz w:val="22"/>
                <w:szCs w:val="22"/>
              </w:rPr>
              <w:t> </w:t>
            </w:r>
            <w:proofErr w:type="spellStart"/>
            <w:r w:rsidRPr="00D11C96">
              <w:rPr>
                <w:rFonts w:ascii="Garamond" w:hAnsi="Garamond"/>
                <w:b/>
                <w:bCs/>
                <w:sz w:val="22"/>
                <w:szCs w:val="22"/>
              </w:rPr>
              <w:t>Footprint</w:t>
            </w:r>
            <w:proofErr w:type="spellEnd"/>
            <w:r w:rsidRPr="00D11C96">
              <w:rPr>
                <w:rFonts w:ascii="Garamond" w:hAnsi="Garamond"/>
                <w:b/>
                <w:bCs/>
                <w:sz w:val="22"/>
                <w:szCs w:val="22"/>
              </w:rPr>
              <w:t>)</w:t>
            </w:r>
            <w:r w:rsidRPr="00D11C96">
              <w:rPr>
                <w:rFonts w:ascii="Times New Roman" w:hAnsi="Times New Roman" w:cs="Times New Roman"/>
                <w:b/>
                <w:bCs/>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3211B5B5" w14:textId="77777777">
            <w:pPr>
              <w:spacing w:after="0" w:line="240" w:lineRule="auto"/>
              <w:jc w:val="center"/>
              <w:rPr>
                <w:rFonts w:ascii="Garamond" w:hAnsi="Garamond"/>
                <w:b/>
                <w:bCs/>
                <w:sz w:val="22"/>
                <w:szCs w:val="22"/>
              </w:rPr>
            </w:pPr>
            <w:r w:rsidRPr="00D11C96">
              <w:rPr>
                <w:rFonts w:ascii="Garamond" w:hAnsi="Garamond"/>
                <w:b/>
                <w:bCs/>
                <w:sz w:val="22"/>
                <w:szCs w:val="22"/>
              </w:rPr>
              <w:t>Área sin huella construida</w:t>
            </w:r>
            <w:r w:rsidRPr="00D11C96">
              <w:rPr>
                <w:rFonts w:ascii="Times New Roman" w:hAnsi="Times New Roman" w:cs="Times New Roman"/>
                <w:b/>
                <w:bCs/>
                <w:sz w:val="22"/>
                <w:szCs w:val="22"/>
              </w:rPr>
              <w:t>​</w:t>
            </w:r>
          </w:p>
        </w:tc>
      </w:tr>
      <w:tr w:rsidRPr="00D11C96" w:rsidR="00B2467E" w:rsidTr="00210575" w14:paraId="7D51AF12" w14:textId="77777777">
        <w:trPr>
          <w:trHeight w:val="555"/>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51EB5023" w14:textId="77777777">
            <w:pPr>
              <w:spacing w:after="0" w:line="240" w:lineRule="auto"/>
              <w:jc w:val="center"/>
              <w:rPr>
                <w:rFonts w:ascii="Garamond" w:hAnsi="Garamond"/>
                <w:sz w:val="22"/>
                <w:szCs w:val="22"/>
              </w:rPr>
            </w:pPr>
            <w:r w:rsidRPr="00D11C96">
              <w:rPr>
                <w:rFonts w:ascii="Garamond" w:hAnsi="Garamond"/>
                <w:sz w:val="22"/>
                <w:szCs w:val="22"/>
              </w:rPr>
              <w:t>Suelo Suburbano</w:t>
            </w:r>
            <w:r w:rsidRPr="00D11C96">
              <w:rPr>
                <w:rFonts w:ascii="Times New Roman" w:hAnsi="Times New Roman" w:cs="Times New Roman"/>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4B6E25DB" w14:textId="77777777">
            <w:pPr>
              <w:spacing w:after="0" w:line="240" w:lineRule="auto"/>
              <w:jc w:val="center"/>
              <w:rPr>
                <w:rFonts w:ascii="Garamond" w:hAnsi="Garamond"/>
                <w:sz w:val="22"/>
                <w:szCs w:val="22"/>
              </w:rPr>
            </w:pPr>
            <w:r w:rsidRPr="00D11C96">
              <w:rPr>
                <w:rFonts w:ascii="Garamond" w:hAnsi="Garamond"/>
                <w:sz w:val="22"/>
                <w:szCs w:val="22"/>
              </w:rPr>
              <w:t>14561</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5BAF25EA" w14:textId="77777777">
            <w:pPr>
              <w:spacing w:after="0" w:line="240" w:lineRule="auto"/>
              <w:jc w:val="center"/>
              <w:rPr>
                <w:rFonts w:ascii="Garamond" w:hAnsi="Garamond"/>
                <w:sz w:val="22"/>
                <w:szCs w:val="22"/>
              </w:rPr>
            </w:pPr>
            <w:r w:rsidRPr="00D11C96">
              <w:rPr>
                <w:rFonts w:ascii="Garamond" w:hAnsi="Garamond"/>
                <w:sz w:val="22"/>
                <w:szCs w:val="22"/>
              </w:rPr>
              <w:t>1093</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694E564D" w14:textId="77777777">
            <w:pPr>
              <w:spacing w:after="0" w:line="240" w:lineRule="auto"/>
              <w:jc w:val="center"/>
              <w:rPr>
                <w:rFonts w:ascii="Garamond" w:hAnsi="Garamond"/>
                <w:sz w:val="22"/>
                <w:szCs w:val="22"/>
              </w:rPr>
            </w:pPr>
            <w:r w:rsidRPr="00D11C96">
              <w:rPr>
                <w:rFonts w:ascii="Garamond" w:hAnsi="Garamond"/>
                <w:sz w:val="22"/>
                <w:szCs w:val="22"/>
              </w:rPr>
              <w:t>13468</w:t>
            </w:r>
            <w:r w:rsidRPr="00D11C96">
              <w:rPr>
                <w:rFonts w:ascii="Times New Roman" w:hAnsi="Times New Roman" w:cs="Times New Roman"/>
                <w:sz w:val="22"/>
                <w:szCs w:val="22"/>
              </w:rPr>
              <w:t>​</w:t>
            </w:r>
          </w:p>
        </w:tc>
      </w:tr>
      <w:tr w:rsidRPr="00D11C96" w:rsidR="00B2467E" w:rsidTr="00210575" w14:paraId="32241549" w14:textId="77777777">
        <w:trPr>
          <w:trHeight w:val="45"/>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41B64358" w14:textId="77777777">
            <w:pPr>
              <w:spacing w:after="0" w:line="240" w:lineRule="auto"/>
              <w:jc w:val="center"/>
              <w:rPr>
                <w:rFonts w:ascii="Garamond" w:hAnsi="Garamond"/>
                <w:sz w:val="22"/>
                <w:szCs w:val="22"/>
              </w:rPr>
            </w:pPr>
            <w:r w:rsidRPr="00D11C96">
              <w:rPr>
                <w:rFonts w:ascii="Garamond" w:hAnsi="Garamond"/>
                <w:sz w:val="22"/>
                <w:szCs w:val="22"/>
              </w:rPr>
              <w:t>Suelo Suburbano Corredor Vial</w:t>
            </w:r>
            <w:r w:rsidRPr="00D11C96">
              <w:rPr>
                <w:rFonts w:ascii="Times New Roman" w:hAnsi="Times New Roman" w:cs="Times New Roman"/>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08425FEA" w14:textId="77777777">
            <w:pPr>
              <w:spacing w:after="0" w:line="240" w:lineRule="auto"/>
              <w:jc w:val="center"/>
              <w:rPr>
                <w:rFonts w:ascii="Garamond" w:hAnsi="Garamond"/>
                <w:sz w:val="22"/>
                <w:szCs w:val="22"/>
              </w:rPr>
            </w:pPr>
            <w:r w:rsidRPr="00D11C96">
              <w:rPr>
                <w:rFonts w:ascii="Garamond" w:hAnsi="Garamond"/>
                <w:sz w:val="22"/>
                <w:szCs w:val="22"/>
              </w:rPr>
              <w:t>869</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7566386C" w14:textId="77777777">
            <w:pPr>
              <w:spacing w:after="0" w:line="240" w:lineRule="auto"/>
              <w:jc w:val="center"/>
              <w:rPr>
                <w:rFonts w:ascii="Garamond" w:hAnsi="Garamond"/>
                <w:sz w:val="22"/>
                <w:szCs w:val="22"/>
              </w:rPr>
            </w:pPr>
            <w:r w:rsidRPr="00D11C96">
              <w:rPr>
                <w:rFonts w:ascii="Garamond" w:hAnsi="Garamond"/>
                <w:sz w:val="22"/>
                <w:szCs w:val="22"/>
              </w:rPr>
              <w:t>91</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6D8F6BB6" w14:textId="77777777">
            <w:pPr>
              <w:spacing w:after="0" w:line="240" w:lineRule="auto"/>
              <w:jc w:val="center"/>
              <w:rPr>
                <w:rFonts w:ascii="Garamond" w:hAnsi="Garamond"/>
                <w:sz w:val="22"/>
                <w:szCs w:val="22"/>
              </w:rPr>
            </w:pPr>
            <w:r w:rsidRPr="00D11C96">
              <w:rPr>
                <w:rFonts w:ascii="Garamond" w:hAnsi="Garamond"/>
                <w:sz w:val="22"/>
                <w:szCs w:val="22"/>
              </w:rPr>
              <w:t>778</w:t>
            </w:r>
            <w:r w:rsidRPr="00D11C96">
              <w:rPr>
                <w:rFonts w:ascii="Times New Roman" w:hAnsi="Times New Roman" w:cs="Times New Roman"/>
                <w:sz w:val="22"/>
                <w:szCs w:val="22"/>
              </w:rPr>
              <w:t>​</w:t>
            </w:r>
          </w:p>
        </w:tc>
      </w:tr>
      <w:tr w:rsidRPr="00D11C96" w:rsidR="00B2467E" w:rsidTr="00210575" w14:paraId="051BA350" w14:textId="77777777">
        <w:trPr>
          <w:trHeight w:val="45"/>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2D516837" w14:textId="77777777">
            <w:pPr>
              <w:spacing w:after="0" w:line="240" w:lineRule="auto"/>
              <w:jc w:val="center"/>
              <w:rPr>
                <w:rFonts w:ascii="Garamond" w:hAnsi="Garamond"/>
                <w:sz w:val="22"/>
                <w:szCs w:val="22"/>
              </w:rPr>
            </w:pPr>
            <w:r w:rsidRPr="00D11C96">
              <w:rPr>
                <w:rFonts w:ascii="Garamond" w:hAnsi="Garamond"/>
                <w:sz w:val="22"/>
                <w:szCs w:val="22"/>
              </w:rPr>
              <w:t>Suelo Suburbano Industrial</w:t>
            </w:r>
            <w:r w:rsidRPr="00D11C96">
              <w:rPr>
                <w:rFonts w:ascii="Times New Roman" w:hAnsi="Times New Roman" w:cs="Times New Roman"/>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2717BF87" w14:textId="77777777">
            <w:pPr>
              <w:spacing w:after="0" w:line="240" w:lineRule="auto"/>
              <w:jc w:val="center"/>
              <w:rPr>
                <w:rFonts w:ascii="Garamond" w:hAnsi="Garamond"/>
                <w:sz w:val="22"/>
                <w:szCs w:val="22"/>
              </w:rPr>
            </w:pPr>
            <w:r w:rsidRPr="00D11C96">
              <w:rPr>
                <w:rFonts w:ascii="Garamond" w:hAnsi="Garamond"/>
                <w:sz w:val="22"/>
                <w:szCs w:val="22"/>
              </w:rPr>
              <w:t>1320</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551B64B3" w14:textId="77777777">
            <w:pPr>
              <w:spacing w:after="0" w:line="240" w:lineRule="auto"/>
              <w:jc w:val="center"/>
              <w:rPr>
                <w:rFonts w:ascii="Garamond" w:hAnsi="Garamond"/>
                <w:sz w:val="22"/>
                <w:szCs w:val="22"/>
              </w:rPr>
            </w:pPr>
            <w:r w:rsidRPr="00D11C96">
              <w:rPr>
                <w:rFonts w:ascii="Garamond" w:hAnsi="Garamond"/>
                <w:sz w:val="22"/>
                <w:szCs w:val="22"/>
              </w:rPr>
              <w:t>128</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16F30BE2" w14:textId="77777777">
            <w:pPr>
              <w:spacing w:after="0" w:line="240" w:lineRule="auto"/>
              <w:jc w:val="center"/>
              <w:rPr>
                <w:rFonts w:ascii="Garamond" w:hAnsi="Garamond"/>
                <w:sz w:val="22"/>
                <w:szCs w:val="22"/>
              </w:rPr>
            </w:pPr>
            <w:r w:rsidRPr="00D11C96">
              <w:rPr>
                <w:rFonts w:ascii="Garamond" w:hAnsi="Garamond"/>
                <w:sz w:val="22"/>
                <w:szCs w:val="22"/>
              </w:rPr>
              <w:t>1192</w:t>
            </w:r>
            <w:r w:rsidRPr="00D11C96">
              <w:rPr>
                <w:rFonts w:ascii="Times New Roman" w:hAnsi="Times New Roman" w:cs="Times New Roman"/>
                <w:sz w:val="22"/>
                <w:szCs w:val="22"/>
              </w:rPr>
              <w:t>​</w:t>
            </w:r>
          </w:p>
        </w:tc>
      </w:tr>
      <w:tr w:rsidRPr="00D11C96" w:rsidR="00B2467E" w:rsidTr="00210575" w14:paraId="6282D4A1" w14:textId="77777777">
        <w:trPr>
          <w:trHeight w:val="45"/>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1054EF1C" w14:textId="77777777">
            <w:pPr>
              <w:spacing w:after="0" w:line="240" w:lineRule="auto"/>
              <w:jc w:val="center"/>
              <w:rPr>
                <w:rFonts w:ascii="Garamond" w:hAnsi="Garamond"/>
                <w:sz w:val="22"/>
                <w:szCs w:val="22"/>
              </w:rPr>
            </w:pPr>
            <w:r w:rsidRPr="00D11C96">
              <w:rPr>
                <w:rFonts w:ascii="Garamond" w:hAnsi="Garamond"/>
                <w:sz w:val="22"/>
                <w:szCs w:val="22"/>
              </w:rPr>
              <w:t>Suelo Vivienda Campestre</w:t>
            </w:r>
            <w:r w:rsidRPr="00D11C96">
              <w:rPr>
                <w:rFonts w:ascii="Times New Roman" w:hAnsi="Times New Roman" w:cs="Times New Roman"/>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2565BDBF" w14:textId="77777777">
            <w:pPr>
              <w:spacing w:after="0" w:line="240" w:lineRule="auto"/>
              <w:jc w:val="center"/>
              <w:rPr>
                <w:rFonts w:ascii="Garamond" w:hAnsi="Garamond"/>
                <w:sz w:val="22"/>
                <w:szCs w:val="22"/>
              </w:rPr>
            </w:pPr>
            <w:r w:rsidRPr="00D11C96">
              <w:rPr>
                <w:rFonts w:ascii="Garamond" w:hAnsi="Garamond"/>
                <w:sz w:val="22"/>
                <w:szCs w:val="22"/>
              </w:rPr>
              <w:t>8380</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4B2D012F" w14:textId="77777777">
            <w:pPr>
              <w:spacing w:after="0" w:line="240" w:lineRule="auto"/>
              <w:jc w:val="center"/>
              <w:rPr>
                <w:rFonts w:ascii="Garamond" w:hAnsi="Garamond"/>
                <w:sz w:val="22"/>
                <w:szCs w:val="22"/>
              </w:rPr>
            </w:pPr>
            <w:r w:rsidRPr="00D11C96">
              <w:rPr>
                <w:rFonts w:ascii="Garamond" w:hAnsi="Garamond"/>
                <w:sz w:val="22"/>
                <w:szCs w:val="22"/>
              </w:rPr>
              <w:t>181</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189335C7" w14:textId="77777777">
            <w:pPr>
              <w:spacing w:after="0" w:line="240" w:lineRule="auto"/>
              <w:jc w:val="center"/>
              <w:rPr>
                <w:rFonts w:ascii="Garamond" w:hAnsi="Garamond"/>
                <w:sz w:val="22"/>
                <w:szCs w:val="22"/>
              </w:rPr>
            </w:pPr>
            <w:r w:rsidRPr="00D11C96">
              <w:rPr>
                <w:rFonts w:ascii="Garamond" w:hAnsi="Garamond"/>
                <w:sz w:val="22"/>
                <w:szCs w:val="22"/>
              </w:rPr>
              <w:t>8199</w:t>
            </w:r>
            <w:r w:rsidRPr="00D11C96">
              <w:rPr>
                <w:rFonts w:ascii="Times New Roman" w:hAnsi="Times New Roman" w:cs="Times New Roman"/>
                <w:sz w:val="22"/>
                <w:szCs w:val="22"/>
              </w:rPr>
              <w:t>​</w:t>
            </w:r>
          </w:p>
        </w:tc>
      </w:tr>
      <w:tr w:rsidRPr="00D11C96" w:rsidR="00B2467E" w:rsidTr="00210575" w14:paraId="0B32FF14" w14:textId="77777777">
        <w:trPr>
          <w:trHeight w:val="285"/>
        </w:trPr>
        <w:tc>
          <w:tcPr>
            <w:tcW w:w="2962"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50240D50" w14:textId="77777777">
            <w:pPr>
              <w:spacing w:after="0" w:line="240" w:lineRule="auto"/>
              <w:jc w:val="center"/>
              <w:rPr>
                <w:rFonts w:ascii="Garamond" w:hAnsi="Garamond"/>
                <w:sz w:val="22"/>
                <w:szCs w:val="22"/>
              </w:rPr>
            </w:pPr>
            <w:r w:rsidRPr="00D11C96">
              <w:rPr>
                <w:rFonts w:ascii="Garamond" w:hAnsi="Garamond"/>
                <w:sz w:val="22"/>
                <w:szCs w:val="22"/>
              </w:rPr>
              <w:t>Total</w:t>
            </w:r>
            <w:r w:rsidRPr="00D11C96">
              <w:rPr>
                <w:rFonts w:ascii="Times New Roman" w:hAnsi="Times New Roman" w:cs="Times New Roman"/>
                <w:sz w:val="22"/>
                <w:szCs w:val="22"/>
              </w:rPr>
              <w:t>​</w:t>
            </w:r>
          </w:p>
        </w:tc>
        <w:tc>
          <w:tcPr>
            <w:tcW w:w="2094" w:type="dxa"/>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121F9453" w14:textId="77777777">
            <w:pPr>
              <w:spacing w:after="0" w:line="240" w:lineRule="auto"/>
              <w:jc w:val="center"/>
              <w:rPr>
                <w:rFonts w:ascii="Garamond" w:hAnsi="Garamond"/>
                <w:sz w:val="22"/>
                <w:szCs w:val="22"/>
              </w:rPr>
            </w:pPr>
            <w:r w:rsidRPr="00D11C96">
              <w:rPr>
                <w:rFonts w:ascii="Garamond" w:hAnsi="Garamond"/>
                <w:sz w:val="22"/>
                <w:szCs w:val="22"/>
              </w:rPr>
              <w:t>25130</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6089FAF5" w14:textId="77777777">
            <w:pPr>
              <w:spacing w:after="0" w:line="240" w:lineRule="auto"/>
              <w:jc w:val="center"/>
              <w:rPr>
                <w:rFonts w:ascii="Garamond" w:hAnsi="Garamond"/>
                <w:sz w:val="22"/>
                <w:szCs w:val="22"/>
              </w:rPr>
            </w:pPr>
            <w:r w:rsidRPr="00D11C96">
              <w:rPr>
                <w:rFonts w:ascii="Garamond" w:hAnsi="Garamond"/>
                <w:sz w:val="22"/>
                <w:szCs w:val="22"/>
              </w:rPr>
              <w:t>1493</w:t>
            </w:r>
            <w:r w:rsidRPr="00D11C96">
              <w:rPr>
                <w:rFonts w:ascii="Times New Roman" w:hAnsi="Times New Roman" w:cs="Times New Roman"/>
                <w:sz w:val="22"/>
                <w:szCs w:val="22"/>
              </w:rPr>
              <w:t>​</w:t>
            </w:r>
          </w:p>
        </w:tc>
        <w:tc>
          <w:tcPr>
            <w:tcW w:w="0" w:type="auto"/>
            <w:tcBorders>
              <w:top w:val="single" w:color="000000" w:sz="6" w:space="0"/>
              <w:left w:val="single" w:color="000000" w:sz="6" w:space="0"/>
              <w:bottom w:val="single" w:color="000000" w:sz="6" w:space="0"/>
              <w:right w:val="single" w:color="000000" w:sz="6" w:space="0"/>
            </w:tcBorders>
            <w:vAlign w:val="center"/>
            <w:hideMark/>
          </w:tcPr>
          <w:p w:rsidRPr="00D11C96" w:rsidR="00B2467E" w:rsidP="00B2467E" w:rsidRDefault="00B2467E" w14:paraId="286D7BCC" w14:textId="77777777">
            <w:pPr>
              <w:spacing w:after="0" w:line="240" w:lineRule="auto"/>
              <w:jc w:val="center"/>
              <w:rPr>
                <w:rFonts w:ascii="Garamond" w:hAnsi="Garamond"/>
                <w:sz w:val="22"/>
                <w:szCs w:val="22"/>
              </w:rPr>
            </w:pPr>
            <w:r w:rsidRPr="00D11C96">
              <w:rPr>
                <w:rFonts w:ascii="Garamond" w:hAnsi="Garamond"/>
                <w:sz w:val="22"/>
                <w:szCs w:val="22"/>
              </w:rPr>
              <w:t>23637</w:t>
            </w:r>
            <w:r w:rsidRPr="00D11C96">
              <w:rPr>
                <w:rFonts w:ascii="Times New Roman" w:hAnsi="Times New Roman" w:cs="Times New Roman"/>
                <w:sz w:val="22"/>
                <w:szCs w:val="22"/>
              </w:rPr>
              <w:t>​</w:t>
            </w:r>
          </w:p>
        </w:tc>
      </w:tr>
    </w:tbl>
    <w:p w:rsidRPr="00D11C96" w:rsidR="00B000EB" w:rsidP="00B000EB" w:rsidRDefault="00B000EB" w14:paraId="2A47828B" w14:textId="1D85851A">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r>
        <w:rPr>
          <w:rFonts w:ascii="Garamond" w:hAnsi="Garamond"/>
          <w:sz w:val="22"/>
          <w:szCs w:val="22"/>
        </w:rPr>
        <w:t xml:space="preserve"> con datos de</w:t>
      </w:r>
      <w:r w:rsidR="00080D37">
        <w:rPr>
          <w:rFonts w:ascii="Garamond" w:hAnsi="Garamond"/>
          <w:sz w:val="22"/>
          <w:szCs w:val="22"/>
        </w:rPr>
        <w:t xml:space="preserve"> </w:t>
      </w:r>
      <w:r>
        <w:rPr>
          <w:rFonts w:ascii="Garamond" w:hAnsi="Garamond"/>
          <w:sz w:val="22"/>
          <w:szCs w:val="22"/>
        </w:rPr>
        <w:t>l</w:t>
      </w:r>
      <w:r w:rsidR="00080D37">
        <w:rPr>
          <w:rFonts w:ascii="Garamond" w:hAnsi="Garamond"/>
          <w:sz w:val="22"/>
          <w:szCs w:val="22"/>
        </w:rPr>
        <w:t>a CAR (2025)</w:t>
      </w:r>
      <w:r>
        <w:rPr>
          <w:rFonts w:ascii="Garamond" w:hAnsi="Garamond"/>
          <w:sz w:val="22"/>
          <w:szCs w:val="22"/>
        </w:rPr>
        <w:t xml:space="preserve"> y Google </w:t>
      </w:r>
      <w:proofErr w:type="spellStart"/>
      <w:r>
        <w:rPr>
          <w:rFonts w:ascii="Garamond" w:hAnsi="Garamond"/>
          <w:sz w:val="22"/>
          <w:szCs w:val="22"/>
        </w:rPr>
        <w:t>Building</w:t>
      </w:r>
      <w:proofErr w:type="spellEnd"/>
      <w:r>
        <w:rPr>
          <w:rFonts w:ascii="Garamond" w:hAnsi="Garamond"/>
          <w:sz w:val="22"/>
          <w:szCs w:val="22"/>
        </w:rPr>
        <w:t xml:space="preserve"> </w:t>
      </w:r>
      <w:proofErr w:type="spellStart"/>
      <w:r>
        <w:rPr>
          <w:rFonts w:ascii="Garamond" w:hAnsi="Garamond"/>
          <w:sz w:val="22"/>
          <w:szCs w:val="22"/>
        </w:rPr>
        <w:t>Footprint</w:t>
      </w:r>
      <w:proofErr w:type="spellEnd"/>
      <w:r>
        <w:rPr>
          <w:rFonts w:ascii="Garamond" w:hAnsi="Garamond"/>
          <w:sz w:val="22"/>
          <w:szCs w:val="22"/>
        </w:rPr>
        <w:t xml:space="preserve"> (2025).</w:t>
      </w:r>
    </w:p>
    <w:p w:rsidRPr="00D11C96" w:rsidR="00772695" w:rsidP="00573EDC" w:rsidRDefault="00210575" w14:paraId="4539B083" w14:textId="6ECDF1A0">
      <w:pPr>
        <w:jc w:val="both"/>
        <w:rPr>
          <w:rFonts w:ascii="Garamond" w:hAnsi="Garamond"/>
          <w:sz w:val="22"/>
          <w:szCs w:val="22"/>
        </w:rPr>
      </w:pPr>
      <w:r w:rsidRPr="00D11C96">
        <w:rPr>
          <w:rFonts w:ascii="Garamond" w:hAnsi="Garamond"/>
          <w:sz w:val="22"/>
          <w:szCs w:val="22"/>
        </w:rPr>
        <w:t>Adicional al hectareaje anterior, también se tuvo en cuenta la información proporcionada por la Secretaria Distrital de Planeación de Bogotá, la cual proyecta un potencial normativo ajustado al ritmo de mercado a 2035 por tratamiento de Bogotá, es decir que hay zonas al interior del suelo urbano de Bogotá que tiene un potencial por su norma urbanística de incrementar el número de viviendas.</w:t>
      </w:r>
    </w:p>
    <w:p w:rsidR="00D72A3C" w:rsidP="00D72A3C" w:rsidRDefault="00D72A3C" w14:paraId="19F2635E" w14:textId="4B2388F7">
      <w:pPr>
        <w:pStyle w:val="Caption"/>
        <w:keepNext/>
        <w:jc w:val="center"/>
      </w:pPr>
      <w:r>
        <w:t xml:space="preserve">Tabla </w:t>
      </w:r>
      <w:r>
        <w:fldChar w:fldCharType="begin"/>
      </w:r>
      <w:r>
        <w:instrText xml:space="preserve"> SEQ Tabla \* ARABIC </w:instrText>
      </w:r>
      <w:r>
        <w:fldChar w:fldCharType="separate"/>
      </w:r>
      <w:r w:rsidR="006E2525">
        <w:rPr>
          <w:noProof/>
        </w:rPr>
        <w:t>5</w:t>
      </w:r>
      <w:r>
        <w:fldChar w:fldCharType="end"/>
      </w:r>
      <w:r>
        <w:t>. Potencial de generación de vivienda por tratamiento urbanístico en Bogotá D.C.</w:t>
      </w:r>
    </w:p>
    <w:tbl>
      <w:tblPr>
        <w:tblW w:w="9344" w:type="dxa"/>
        <w:tblBorders>
          <w:top w:val="outset" w:color="auto" w:sz="6" w:space="0"/>
          <w:left w:val="outset" w:color="auto" w:sz="6" w:space="0"/>
          <w:bottom w:val="outset" w:color="auto" w:sz="6" w:space="0"/>
          <w:right w:val="outset" w:color="auto" w:sz="6" w:space="0"/>
        </w:tblBorders>
        <w:tblLayout w:type="fixed"/>
        <w:tblCellMar>
          <w:top w:w="15" w:type="dxa"/>
          <w:left w:w="15" w:type="dxa"/>
          <w:bottom w:w="15" w:type="dxa"/>
          <w:right w:w="15" w:type="dxa"/>
        </w:tblCellMar>
        <w:tblLook w:val="04A0" w:firstRow="1" w:lastRow="0" w:firstColumn="1" w:lastColumn="0" w:noHBand="0" w:noVBand="1"/>
      </w:tblPr>
      <w:tblGrid>
        <w:gridCol w:w="2422"/>
        <w:gridCol w:w="1901"/>
        <w:gridCol w:w="1609"/>
        <w:gridCol w:w="2070"/>
        <w:gridCol w:w="1342"/>
      </w:tblGrid>
      <w:tr w:rsidRPr="00D11C96" w:rsidR="00210575" w:rsidTr="00210575" w14:paraId="1B2EC59E" w14:textId="77777777">
        <w:trPr>
          <w:trHeight w:val="591"/>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4613E5AA" w14:textId="3A32552F">
            <w:pPr>
              <w:spacing w:after="0" w:line="240" w:lineRule="auto"/>
              <w:jc w:val="center"/>
              <w:rPr>
                <w:rFonts w:ascii="Garamond" w:hAnsi="Garamond"/>
                <w:b/>
                <w:bCs/>
                <w:sz w:val="22"/>
                <w:szCs w:val="22"/>
              </w:rPr>
            </w:pPr>
            <w:r w:rsidRPr="00D11C96">
              <w:rPr>
                <w:rFonts w:ascii="Garamond" w:hAnsi="Garamond"/>
                <w:b/>
                <w:bCs/>
                <w:sz w:val="22"/>
                <w:szCs w:val="22"/>
              </w:rPr>
              <w:t>Tratamiento urbanístico</w:t>
            </w:r>
            <w:r w:rsidRPr="00D11C96">
              <w:rPr>
                <w:rFonts w:ascii="Times New Roman" w:hAnsi="Times New Roman" w:cs="Times New Roman"/>
                <w:b/>
                <w:bCs/>
                <w:sz w:val="22"/>
                <w:szCs w:val="22"/>
              </w:rPr>
              <w:t>​</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045E8C52" w14:textId="77777777">
            <w:pPr>
              <w:spacing w:after="0" w:line="240" w:lineRule="auto"/>
              <w:jc w:val="center"/>
              <w:rPr>
                <w:rFonts w:ascii="Garamond" w:hAnsi="Garamond"/>
                <w:b/>
                <w:bCs/>
                <w:sz w:val="22"/>
                <w:szCs w:val="22"/>
              </w:rPr>
            </w:pPr>
            <w:r w:rsidRPr="00D11C96">
              <w:rPr>
                <w:rFonts w:ascii="Garamond" w:hAnsi="Garamond"/>
                <w:b/>
                <w:bCs/>
                <w:sz w:val="22"/>
                <w:szCs w:val="22"/>
              </w:rPr>
              <w:t>Viviendas potencial general</w:t>
            </w:r>
            <w:r w:rsidRPr="00D11C96">
              <w:rPr>
                <w:rFonts w:ascii="Times New Roman" w:hAnsi="Times New Roman" w:cs="Times New Roman"/>
                <w:b/>
                <w:bCs/>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3A39C5EF" w14:textId="77777777">
            <w:pPr>
              <w:spacing w:after="0" w:line="240" w:lineRule="auto"/>
              <w:jc w:val="center"/>
              <w:rPr>
                <w:rFonts w:ascii="Garamond" w:hAnsi="Garamond"/>
                <w:b/>
                <w:bCs/>
                <w:sz w:val="22"/>
                <w:szCs w:val="22"/>
              </w:rPr>
            </w:pPr>
            <w:r w:rsidRPr="00D11C96">
              <w:rPr>
                <w:rFonts w:ascii="Garamond" w:hAnsi="Garamond"/>
                <w:b/>
                <w:bCs/>
                <w:sz w:val="22"/>
                <w:szCs w:val="22"/>
              </w:rPr>
              <w:t>Área tratamiento (hectáreas)</w:t>
            </w:r>
            <w:r w:rsidRPr="00D11C96">
              <w:rPr>
                <w:rFonts w:ascii="Times New Roman" w:hAnsi="Times New Roman" w:cs="Times New Roman"/>
                <w:b/>
                <w:bCs/>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556B38BD" w14:textId="77777777">
            <w:pPr>
              <w:spacing w:after="0" w:line="240" w:lineRule="auto"/>
              <w:jc w:val="center"/>
              <w:rPr>
                <w:rFonts w:ascii="Garamond" w:hAnsi="Garamond"/>
                <w:b/>
                <w:bCs/>
                <w:sz w:val="22"/>
                <w:szCs w:val="22"/>
              </w:rPr>
            </w:pPr>
            <w:r w:rsidRPr="00D11C96">
              <w:rPr>
                <w:rFonts w:ascii="Garamond" w:hAnsi="Garamond"/>
                <w:b/>
                <w:bCs/>
                <w:sz w:val="22"/>
                <w:szCs w:val="22"/>
              </w:rPr>
              <w:t>Viviendas potenciales por hectárea</w:t>
            </w:r>
            <w:r w:rsidRPr="00D11C96">
              <w:rPr>
                <w:rFonts w:ascii="Times New Roman" w:hAnsi="Times New Roman" w:cs="Times New Roman"/>
                <w:b/>
                <w:bCs/>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0D6C9F7A" w14:textId="77777777">
            <w:pPr>
              <w:spacing w:after="0" w:line="240" w:lineRule="auto"/>
              <w:jc w:val="center"/>
              <w:rPr>
                <w:rFonts w:ascii="Garamond" w:hAnsi="Garamond"/>
                <w:b/>
                <w:bCs/>
                <w:sz w:val="22"/>
                <w:szCs w:val="22"/>
              </w:rPr>
            </w:pPr>
            <w:r w:rsidRPr="00D11C96">
              <w:rPr>
                <w:rFonts w:ascii="Garamond" w:hAnsi="Garamond"/>
                <w:b/>
                <w:bCs/>
                <w:sz w:val="22"/>
                <w:szCs w:val="22"/>
              </w:rPr>
              <w:t>Viviendas a 2035</w:t>
            </w:r>
            <w:r w:rsidRPr="00D11C96">
              <w:rPr>
                <w:rFonts w:ascii="Times New Roman" w:hAnsi="Times New Roman" w:cs="Times New Roman"/>
                <w:b/>
                <w:bCs/>
                <w:sz w:val="22"/>
                <w:szCs w:val="22"/>
              </w:rPr>
              <w:t>​</w:t>
            </w:r>
          </w:p>
        </w:tc>
      </w:tr>
      <w:tr w:rsidRPr="00D11C96" w:rsidR="00210575" w:rsidTr="00210575" w14:paraId="3EC5B839" w14:textId="77777777">
        <w:trPr>
          <w:trHeight w:val="168"/>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C5FFE03" w14:textId="77777777">
            <w:pPr>
              <w:spacing w:after="0" w:line="240" w:lineRule="auto"/>
              <w:jc w:val="center"/>
              <w:rPr>
                <w:rFonts w:ascii="Garamond" w:hAnsi="Garamond"/>
                <w:b/>
                <w:bCs/>
                <w:sz w:val="22"/>
                <w:szCs w:val="22"/>
              </w:rPr>
            </w:pPr>
            <w:r w:rsidRPr="00D11C96">
              <w:rPr>
                <w:rFonts w:ascii="Garamond" w:hAnsi="Garamond"/>
                <w:b/>
                <w:bCs/>
                <w:sz w:val="22"/>
                <w:szCs w:val="22"/>
              </w:rPr>
              <w:t>Consolidación General</w:t>
            </w:r>
            <w:r w:rsidRPr="00D11C96">
              <w:rPr>
                <w:rFonts w:ascii="Times New Roman" w:hAnsi="Times New Roman" w:cs="Times New Roman"/>
                <w:b/>
                <w:bCs/>
                <w:sz w:val="22"/>
                <w:szCs w:val="22"/>
              </w:rPr>
              <w:t>​</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39A09B19" w14:textId="77777777">
            <w:pPr>
              <w:spacing w:after="0" w:line="240" w:lineRule="auto"/>
              <w:jc w:val="center"/>
              <w:rPr>
                <w:rFonts w:ascii="Garamond" w:hAnsi="Garamond"/>
                <w:sz w:val="22"/>
                <w:szCs w:val="22"/>
              </w:rPr>
            </w:pPr>
            <w:r w:rsidRPr="00D11C96">
              <w:rPr>
                <w:rFonts w:ascii="Garamond" w:hAnsi="Garamond"/>
                <w:sz w:val="22"/>
                <w:szCs w:val="22"/>
              </w:rPr>
              <w:t>315.474</w:t>
            </w:r>
            <w:r w:rsidRPr="00D11C96">
              <w:rPr>
                <w:rFonts w:ascii="Times New Roman" w:hAnsi="Times New Roman" w:cs="Times New Roman"/>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16AD809" w14:textId="77777777">
            <w:pPr>
              <w:spacing w:after="0" w:line="240" w:lineRule="auto"/>
              <w:jc w:val="center"/>
              <w:rPr>
                <w:rFonts w:ascii="Garamond" w:hAnsi="Garamond"/>
                <w:sz w:val="22"/>
                <w:szCs w:val="22"/>
              </w:rPr>
            </w:pPr>
            <w:r w:rsidRPr="00D11C96">
              <w:rPr>
                <w:rFonts w:ascii="Garamond" w:hAnsi="Garamond"/>
                <w:sz w:val="22"/>
                <w:szCs w:val="22"/>
              </w:rPr>
              <w:t>13.025,44</w:t>
            </w:r>
            <w:r w:rsidRPr="00D11C96">
              <w:rPr>
                <w:rFonts w:ascii="Times New Roman" w:hAnsi="Times New Roman" w:cs="Times New Roman"/>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5AEEB5D2" w14:textId="77777777">
            <w:pPr>
              <w:spacing w:after="0" w:line="240" w:lineRule="auto"/>
              <w:jc w:val="center"/>
              <w:rPr>
                <w:rFonts w:ascii="Garamond" w:hAnsi="Garamond"/>
                <w:sz w:val="22"/>
                <w:szCs w:val="22"/>
              </w:rPr>
            </w:pPr>
            <w:r w:rsidRPr="00D11C96">
              <w:rPr>
                <w:rFonts w:ascii="Garamond" w:hAnsi="Garamond"/>
                <w:sz w:val="22"/>
                <w:szCs w:val="22"/>
              </w:rPr>
              <w:t>24,22</w:t>
            </w:r>
            <w:r w:rsidRPr="00D11C96">
              <w:rPr>
                <w:rFonts w:ascii="Times New Roman" w:hAnsi="Times New Roman" w:cs="Times New Roman"/>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12C2305A" w14:textId="77777777">
            <w:pPr>
              <w:spacing w:after="0" w:line="240" w:lineRule="auto"/>
              <w:jc w:val="center"/>
              <w:rPr>
                <w:rFonts w:ascii="Garamond" w:hAnsi="Garamond"/>
                <w:sz w:val="22"/>
                <w:szCs w:val="22"/>
              </w:rPr>
            </w:pPr>
            <w:r w:rsidRPr="00D11C96">
              <w:rPr>
                <w:rFonts w:ascii="Garamond" w:hAnsi="Garamond"/>
                <w:sz w:val="22"/>
                <w:szCs w:val="22"/>
              </w:rPr>
              <w:t>84.832</w:t>
            </w:r>
            <w:r w:rsidRPr="00D11C96">
              <w:rPr>
                <w:rFonts w:ascii="Times New Roman" w:hAnsi="Times New Roman" w:cs="Times New Roman"/>
                <w:sz w:val="22"/>
                <w:szCs w:val="22"/>
              </w:rPr>
              <w:t>​</w:t>
            </w:r>
          </w:p>
        </w:tc>
      </w:tr>
      <w:tr w:rsidRPr="00D11C96" w:rsidR="00210575" w:rsidTr="00210575" w14:paraId="7B245E32" w14:textId="77777777">
        <w:trPr>
          <w:trHeight w:val="51"/>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42394025" w14:textId="6FBDA935">
            <w:pPr>
              <w:spacing w:after="0" w:line="240" w:lineRule="auto"/>
              <w:jc w:val="center"/>
              <w:rPr>
                <w:rFonts w:ascii="Garamond" w:hAnsi="Garamond"/>
                <w:b/>
                <w:bCs/>
                <w:sz w:val="22"/>
                <w:szCs w:val="22"/>
              </w:rPr>
            </w:pPr>
            <w:r w:rsidRPr="00D11C96">
              <w:rPr>
                <w:rFonts w:ascii="Garamond" w:hAnsi="Garamond"/>
                <w:b/>
                <w:bCs/>
                <w:sz w:val="22"/>
                <w:szCs w:val="22"/>
              </w:rPr>
              <w:t>Mejoramiento integral</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95E9253" w14:textId="77777777">
            <w:pPr>
              <w:spacing w:after="0" w:line="240" w:lineRule="auto"/>
              <w:jc w:val="center"/>
              <w:rPr>
                <w:rFonts w:ascii="Garamond" w:hAnsi="Garamond"/>
                <w:sz w:val="22"/>
                <w:szCs w:val="22"/>
              </w:rPr>
            </w:pPr>
            <w:r w:rsidRPr="00D11C96">
              <w:rPr>
                <w:rFonts w:ascii="Garamond" w:hAnsi="Garamond"/>
                <w:sz w:val="22"/>
                <w:szCs w:val="22"/>
              </w:rPr>
              <w:t>104.023</w:t>
            </w:r>
            <w:r w:rsidRPr="00D11C96">
              <w:rPr>
                <w:rFonts w:ascii="Times New Roman" w:hAnsi="Times New Roman" w:cs="Times New Roman"/>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C204D8D" w14:textId="77777777">
            <w:pPr>
              <w:spacing w:after="0" w:line="240" w:lineRule="auto"/>
              <w:jc w:val="center"/>
              <w:rPr>
                <w:rFonts w:ascii="Garamond" w:hAnsi="Garamond"/>
                <w:sz w:val="22"/>
                <w:szCs w:val="22"/>
              </w:rPr>
            </w:pPr>
            <w:r w:rsidRPr="00D11C96">
              <w:rPr>
                <w:rFonts w:ascii="Garamond" w:hAnsi="Garamond"/>
                <w:sz w:val="22"/>
                <w:szCs w:val="22"/>
              </w:rPr>
              <w:t>3.883,47</w:t>
            </w:r>
            <w:r w:rsidRPr="00D11C96">
              <w:rPr>
                <w:rFonts w:ascii="Times New Roman" w:hAnsi="Times New Roman" w:cs="Times New Roman"/>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E4BD411" w14:textId="77777777">
            <w:pPr>
              <w:spacing w:after="0" w:line="240" w:lineRule="auto"/>
              <w:jc w:val="center"/>
              <w:rPr>
                <w:rFonts w:ascii="Garamond" w:hAnsi="Garamond"/>
                <w:sz w:val="22"/>
                <w:szCs w:val="22"/>
              </w:rPr>
            </w:pPr>
            <w:r w:rsidRPr="00D11C96">
              <w:rPr>
                <w:rFonts w:ascii="Garamond" w:hAnsi="Garamond"/>
                <w:sz w:val="22"/>
                <w:szCs w:val="22"/>
              </w:rPr>
              <w:t>26,79</w:t>
            </w:r>
            <w:r w:rsidRPr="00D11C96">
              <w:rPr>
                <w:rFonts w:ascii="Times New Roman" w:hAnsi="Times New Roman" w:cs="Times New Roman"/>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E1372B4" w14:textId="77777777">
            <w:pPr>
              <w:spacing w:after="0" w:line="240" w:lineRule="auto"/>
              <w:jc w:val="center"/>
              <w:rPr>
                <w:rFonts w:ascii="Garamond" w:hAnsi="Garamond"/>
                <w:sz w:val="22"/>
                <w:szCs w:val="22"/>
              </w:rPr>
            </w:pPr>
            <w:r w:rsidRPr="00D11C96">
              <w:rPr>
                <w:rFonts w:ascii="Garamond" w:hAnsi="Garamond"/>
                <w:sz w:val="22"/>
                <w:szCs w:val="22"/>
              </w:rPr>
              <w:t>18.291</w:t>
            </w:r>
            <w:r w:rsidRPr="00D11C96">
              <w:rPr>
                <w:rFonts w:ascii="Times New Roman" w:hAnsi="Times New Roman" w:cs="Times New Roman"/>
                <w:sz w:val="22"/>
                <w:szCs w:val="22"/>
              </w:rPr>
              <w:t>​</w:t>
            </w:r>
          </w:p>
        </w:tc>
      </w:tr>
      <w:tr w:rsidRPr="00D11C96" w:rsidR="00210575" w:rsidTr="00210575" w14:paraId="5275513E" w14:textId="77777777">
        <w:trPr>
          <w:trHeight w:val="34"/>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3D3E9947" w14:textId="77777777">
            <w:pPr>
              <w:spacing w:after="0" w:line="240" w:lineRule="auto"/>
              <w:jc w:val="center"/>
              <w:rPr>
                <w:rFonts w:ascii="Garamond" w:hAnsi="Garamond"/>
                <w:b/>
                <w:bCs/>
                <w:sz w:val="22"/>
                <w:szCs w:val="22"/>
              </w:rPr>
            </w:pPr>
            <w:r w:rsidRPr="00D11C96">
              <w:rPr>
                <w:rFonts w:ascii="Garamond" w:hAnsi="Garamond"/>
                <w:b/>
                <w:bCs/>
                <w:sz w:val="22"/>
                <w:szCs w:val="22"/>
              </w:rPr>
              <w:t>Desarrollo</w:t>
            </w:r>
            <w:r w:rsidRPr="00D11C96">
              <w:rPr>
                <w:rFonts w:ascii="Times New Roman" w:hAnsi="Times New Roman" w:cs="Times New Roman"/>
                <w:b/>
                <w:bCs/>
                <w:sz w:val="22"/>
                <w:szCs w:val="22"/>
              </w:rPr>
              <w:t>​</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58B0F0A" w14:textId="77777777">
            <w:pPr>
              <w:spacing w:after="0" w:line="240" w:lineRule="auto"/>
              <w:jc w:val="center"/>
              <w:rPr>
                <w:rFonts w:ascii="Garamond" w:hAnsi="Garamond"/>
                <w:sz w:val="22"/>
                <w:szCs w:val="22"/>
              </w:rPr>
            </w:pPr>
            <w:r w:rsidRPr="00D11C96">
              <w:rPr>
                <w:rFonts w:ascii="Garamond" w:hAnsi="Garamond"/>
                <w:sz w:val="22"/>
                <w:szCs w:val="22"/>
              </w:rPr>
              <w:t>303.045</w:t>
            </w:r>
            <w:r w:rsidRPr="00D11C96">
              <w:rPr>
                <w:rFonts w:ascii="Times New Roman" w:hAnsi="Times New Roman" w:cs="Times New Roman"/>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2CCA8BB" w14:textId="77777777">
            <w:pPr>
              <w:spacing w:after="0" w:line="240" w:lineRule="auto"/>
              <w:jc w:val="center"/>
              <w:rPr>
                <w:rFonts w:ascii="Garamond" w:hAnsi="Garamond"/>
                <w:sz w:val="22"/>
                <w:szCs w:val="22"/>
              </w:rPr>
            </w:pPr>
            <w:r w:rsidRPr="00D11C96">
              <w:rPr>
                <w:rFonts w:ascii="Garamond" w:hAnsi="Garamond"/>
                <w:sz w:val="22"/>
                <w:szCs w:val="22"/>
              </w:rPr>
              <w:t>3.664,26</w:t>
            </w:r>
            <w:r w:rsidRPr="00D11C96">
              <w:rPr>
                <w:rFonts w:ascii="Times New Roman" w:hAnsi="Times New Roman" w:cs="Times New Roman"/>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071ED51" w14:textId="77777777">
            <w:pPr>
              <w:spacing w:after="0" w:line="240" w:lineRule="auto"/>
              <w:jc w:val="center"/>
              <w:rPr>
                <w:rFonts w:ascii="Garamond" w:hAnsi="Garamond"/>
                <w:sz w:val="22"/>
                <w:szCs w:val="22"/>
              </w:rPr>
            </w:pPr>
            <w:r w:rsidRPr="00D11C96">
              <w:rPr>
                <w:rFonts w:ascii="Garamond" w:hAnsi="Garamond"/>
                <w:sz w:val="22"/>
                <w:szCs w:val="22"/>
              </w:rPr>
              <w:t>82,7</w:t>
            </w:r>
            <w:r w:rsidRPr="00D11C96">
              <w:rPr>
                <w:rFonts w:ascii="Times New Roman" w:hAnsi="Times New Roman" w:cs="Times New Roman"/>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0DAA1F09" w14:textId="77777777">
            <w:pPr>
              <w:spacing w:after="0" w:line="240" w:lineRule="auto"/>
              <w:jc w:val="center"/>
              <w:rPr>
                <w:rFonts w:ascii="Garamond" w:hAnsi="Garamond"/>
                <w:sz w:val="22"/>
                <w:szCs w:val="22"/>
              </w:rPr>
            </w:pPr>
            <w:r w:rsidRPr="00D11C96">
              <w:rPr>
                <w:rFonts w:ascii="Garamond" w:hAnsi="Garamond"/>
                <w:sz w:val="22"/>
                <w:szCs w:val="22"/>
              </w:rPr>
              <w:t>138.912</w:t>
            </w:r>
            <w:r w:rsidRPr="00D11C96">
              <w:rPr>
                <w:rFonts w:ascii="Times New Roman" w:hAnsi="Times New Roman" w:cs="Times New Roman"/>
                <w:sz w:val="22"/>
                <w:szCs w:val="22"/>
              </w:rPr>
              <w:t>​</w:t>
            </w:r>
          </w:p>
        </w:tc>
      </w:tr>
      <w:tr w:rsidRPr="00D11C96" w:rsidR="00210575" w:rsidTr="00210575" w14:paraId="4D395530" w14:textId="77777777">
        <w:trPr>
          <w:trHeight w:val="34"/>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79BAA178" w14:textId="77777777">
            <w:pPr>
              <w:spacing w:after="0" w:line="240" w:lineRule="auto"/>
              <w:jc w:val="center"/>
              <w:rPr>
                <w:rFonts w:ascii="Garamond" w:hAnsi="Garamond"/>
                <w:b/>
                <w:bCs/>
                <w:sz w:val="22"/>
                <w:szCs w:val="22"/>
              </w:rPr>
            </w:pPr>
            <w:r w:rsidRPr="00D11C96">
              <w:rPr>
                <w:rFonts w:ascii="Garamond" w:hAnsi="Garamond"/>
                <w:b/>
                <w:bCs/>
                <w:sz w:val="22"/>
                <w:szCs w:val="22"/>
              </w:rPr>
              <w:t>Renovación Urbana</w:t>
            </w:r>
            <w:r w:rsidRPr="00D11C96">
              <w:rPr>
                <w:rFonts w:ascii="Times New Roman" w:hAnsi="Times New Roman" w:cs="Times New Roman"/>
                <w:b/>
                <w:bCs/>
                <w:sz w:val="22"/>
                <w:szCs w:val="22"/>
              </w:rPr>
              <w:t>​</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07D172A8" w14:textId="77777777">
            <w:pPr>
              <w:spacing w:after="0" w:line="240" w:lineRule="auto"/>
              <w:jc w:val="center"/>
              <w:rPr>
                <w:rFonts w:ascii="Garamond" w:hAnsi="Garamond"/>
                <w:sz w:val="22"/>
                <w:szCs w:val="22"/>
              </w:rPr>
            </w:pPr>
            <w:r w:rsidRPr="00D11C96">
              <w:rPr>
                <w:rFonts w:ascii="Garamond" w:hAnsi="Garamond"/>
                <w:sz w:val="22"/>
                <w:szCs w:val="22"/>
              </w:rPr>
              <w:t>871.847</w:t>
            </w:r>
            <w:r w:rsidRPr="00D11C96">
              <w:rPr>
                <w:rFonts w:ascii="Times New Roman" w:hAnsi="Times New Roman" w:cs="Times New Roman"/>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09284677" w14:textId="77777777">
            <w:pPr>
              <w:spacing w:after="0" w:line="240" w:lineRule="auto"/>
              <w:jc w:val="center"/>
              <w:rPr>
                <w:rFonts w:ascii="Garamond" w:hAnsi="Garamond"/>
                <w:sz w:val="22"/>
                <w:szCs w:val="22"/>
              </w:rPr>
            </w:pPr>
            <w:r w:rsidRPr="00D11C96">
              <w:rPr>
                <w:rFonts w:ascii="Garamond" w:hAnsi="Garamond"/>
                <w:sz w:val="22"/>
                <w:szCs w:val="22"/>
              </w:rPr>
              <w:t>6.899,39</w:t>
            </w:r>
            <w:r w:rsidRPr="00D11C96">
              <w:rPr>
                <w:rFonts w:ascii="Times New Roman" w:hAnsi="Times New Roman" w:cs="Times New Roman"/>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6923F5E1" w14:textId="77777777">
            <w:pPr>
              <w:spacing w:after="0" w:line="240" w:lineRule="auto"/>
              <w:jc w:val="center"/>
              <w:rPr>
                <w:rFonts w:ascii="Garamond" w:hAnsi="Garamond"/>
                <w:sz w:val="22"/>
                <w:szCs w:val="22"/>
              </w:rPr>
            </w:pPr>
            <w:r w:rsidRPr="00D11C96">
              <w:rPr>
                <w:rFonts w:ascii="Garamond" w:hAnsi="Garamond"/>
                <w:sz w:val="22"/>
                <w:szCs w:val="22"/>
              </w:rPr>
              <w:t>126,37</w:t>
            </w:r>
            <w:r w:rsidRPr="00D11C96">
              <w:rPr>
                <w:rFonts w:ascii="Times New Roman" w:hAnsi="Times New Roman" w:cs="Times New Roman"/>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39CB0DA" w14:textId="77777777">
            <w:pPr>
              <w:spacing w:after="0" w:line="240" w:lineRule="auto"/>
              <w:jc w:val="center"/>
              <w:rPr>
                <w:rFonts w:ascii="Garamond" w:hAnsi="Garamond"/>
                <w:sz w:val="22"/>
                <w:szCs w:val="22"/>
              </w:rPr>
            </w:pPr>
            <w:r w:rsidRPr="00D11C96">
              <w:rPr>
                <w:rFonts w:ascii="Garamond" w:hAnsi="Garamond"/>
                <w:sz w:val="22"/>
                <w:szCs w:val="22"/>
              </w:rPr>
              <w:t>347.148</w:t>
            </w:r>
            <w:r w:rsidRPr="00D11C96">
              <w:rPr>
                <w:rFonts w:ascii="Times New Roman" w:hAnsi="Times New Roman" w:cs="Times New Roman"/>
                <w:sz w:val="22"/>
                <w:szCs w:val="22"/>
              </w:rPr>
              <w:t>​</w:t>
            </w:r>
          </w:p>
        </w:tc>
      </w:tr>
      <w:tr w:rsidRPr="00D11C96" w:rsidR="00210575" w:rsidTr="00210575" w14:paraId="09C0C47C" w14:textId="77777777">
        <w:trPr>
          <w:trHeight w:val="300"/>
        </w:trPr>
        <w:tc>
          <w:tcPr>
            <w:tcW w:w="242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B8602E8" w14:textId="77777777">
            <w:pPr>
              <w:spacing w:after="0" w:line="240" w:lineRule="auto"/>
              <w:jc w:val="center"/>
              <w:rPr>
                <w:rFonts w:ascii="Garamond" w:hAnsi="Garamond"/>
                <w:b/>
                <w:bCs/>
                <w:sz w:val="22"/>
                <w:szCs w:val="22"/>
              </w:rPr>
            </w:pPr>
            <w:r w:rsidRPr="00D11C96">
              <w:rPr>
                <w:rFonts w:ascii="Garamond" w:hAnsi="Garamond"/>
                <w:b/>
                <w:bCs/>
                <w:sz w:val="22"/>
                <w:szCs w:val="22"/>
              </w:rPr>
              <w:t>Total</w:t>
            </w:r>
            <w:r w:rsidRPr="00D11C96">
              <w:rPr>
                <w:rFonts w:ascii="Times New Roman" w:hAnsi="Times New Roman" w:cs="Times New Roman"/>
                <w:b/>
                <w:bCs/>
                <w:sz w:val="22"/>
                <w:szCs w:val="22"/>
              </w:rPr>
              <w:t>​</w:t>
            </w:r>
          </w:p>
        </w:tc>
        <w:tc>
          <w:tcPr>
            <w:tcW w:w="1901"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4F2A4A68" w14:textId="77777777">
            <w:pPr>
              <w:spacing w:after="0" w:line="240" w:lineRule="auto"/>
              <w:jc w:val="center"/>
              <w:rPr>
                <w:rFonts w:ascii="Garamond" w:hAnsi="Garamond"/>
                <w:sz w:val="22"/>
                <w:szCs w:val="22"/>
              </w:rPr>
            </w:pPr>
            <w:r w:rsidRPr="00D11C96">
              <w:rPr>
                <w:rFonts w:ascii="Garamond" w:hAnsi="Garamond"/>
                <w:b/>
                <w:bCs/>
                <w:sz w:val="22"/>
                <w:szCs w:val="22"/>
              </w:rPr>
              <w:t>1.594.389</w:t>
            </w:r>
            <w:r w:rsidRPr="00D11C96">
              <w:rPr>
                <w:rFonts w:ascii="Times New Roman" w:hAnsi="Times New Roman" w:cs="Times New Roman"/>
                <w:sz w:val="22"/>
                <w:szCs w:val="22"/>
              </w:rPr>
              <w:t>​</w:t>
            </w:r>
          </w:p>
        </w:tc>
        <w:tc>
          <w:tcPr>
            <w:tcW w:w="1609"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2475669A" w14:textId="77777777">
            <w:pPr>
              <w:spacing w:after="0" w:line="240" w:lineRule="auto"/>
              <w:jc w:val="center"/>
              <w:rPr>
                <w:rFonts w:ascii="Garamond" w:hAnsi="Garamond"/>
                <w:sz w:val="22"/>
                <w:szCs w:val="22"/>
              </w:rPr>
            </w:pPr>
            <w:r w:rsidRPr="00D11C96">
              <w:rPr>
                <w:rFonts w:ascii="Garamond" w:hAnsi="Garamond"/>
                <w:b/>
                <w:bCs/>
                <w:sz w:val="22"/>
                <w:szCs w:val="22"/>
              </w:rPr>
              <w:t>27.472,56</w:t>
            </w:r>
            <w:r w:rsidRPr="00D11C96">
              <w:rPr>
                <w:rFonts w:ascii="Times New Roman" w:hAnsi="Times New Roman" w:cs="Times New Roman"/>
                <w:sz w:val="22"/>
                <w:szCs w:val="22"/>
              </w:rPr>
              <w:t>​</w:t>
            </w:r>
          </w:p>
        </w:tc>
        <w:tc>
          <w:tcPr>
            <w:tcW w:w="2070"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46EDEE39" w14:textId="77777777">
            <w:pPr>
              <w:spacing w:after="0" w:line="240" w:lineRule="auto"/>
              <w:jc w:val="center"/>
              <w:rPr>
                <w:rFonts w:ascii="Garamond" w:hAnsi="Garamond"/>
                <w:sz w:val="22"/>
                <w:szCs w:val="22"/>
              </w:rPr>
            </w:pPr>
            <w:r w:rsidRPr="00D11C96">
              <w:rPr>
                <w:rFonts w:ascii="Garamond" w:hAnsi="Garamond"/>
                <w:b/>
                <w:bCs/>
                <w:sz w:val="22"/>
                <w:szCs w:val="22"/>
              </w:rPr>
              <w:t>58,04</w:t>
            </w:r>
            <w:r w:rsidRPr="00D11C96">
              <w:rPr>
                <w:rFonts w:ascii="Times New Roman" w:hAnsi="Times New Roman" w:cs="Times New Roman"/>
                <w:sz w:val="22"/>
                <w:szCs w:val="22"/>
              </w:rPr>
              <w:t>​</w:t>
            </w:r>
          </w:p>
        </w:tc>
        <w:tc>
          <w:tcPr>
            <w:tcW w:w="1342"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210575" w:rsidRDefault="00210575" w14:paraId="30D8D71A" w14:textId="77777777">
            <w:pPr>
              <w:spacing w:after="0" w:line="240" w:lineRule="auto"/>
              <w:jc w:val="center"/>
              <w:rPr>
                <w:rFonts w:ascii="Garamond" w:hAnsi="Garamond"/>
                <w:sz w:val="22"/>
                <w:szCs w:val="22"/>
              </w:rPr>
            </w:pPr>
            <w:r w:rsidRPr="00D11C96">
              <w:rPr>
                <w:rFonts w:ascii="Garamond" w:hAnsi="Garamond"/>
                <w:b/>
                <w:bCs/>
                <w:sz w:val="22"/>
                <w:szCs w:val="22"/>
              </w:rPr>
              <w:t>589.182</w:t>
            </w:r>
            <w:r w:rsidRPr="00D11C96">
              <w:rPr>
                <w:rFonts w:ascii="Times New Roman" w:hAnsi="Times New Roman" w:cs="Times New Roman"/>
                <w:sz w:val="22"/>
                <w:szCs w:val="22"/>
              </w:rPr>
              <w:t>​</w:t>
            </w:r>
          </w:p>
        </w:tc>
      </w:tr>
    </w:tbl>
    <w:p w:rsidRPr="00D11C96" w:rsidR="00B000EB" w:rsidP="00B000EB" w:rsidRDefault="00B000EB" w14:paraId="7020F745" w14:textId="1DE61164">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r>
        <w:rPr>
          <w:rFonts w:ascii="Garamond" w:hAnsi="Garamond"/>
          <w:sz w:val="22"/>
          <w:szCs w:val="22"/>
        </w:rPr>
        <w:t xml:space="preserve"> con datos d</w:t>
      </w:r>
      <w:r w:rsidR="00D72A3C">
        <w:rPr>
          <w:rFonts w:ascii="Garamond" w:hAnsi="Garamond"/>
          <w:sz w:val="22"/>
          <w:szCs w:val="22"/>
        </w:rPr>
        <w:t>e</w:t>
      </w:r>
      <w:r>
        <w:rPr>
          <w:rFonts w:ascii="Garamond" w:hAnsi="Garamond"/>
          <w:sz w:val="22"/>
          <w:szCs w:val="22"/>
        </w:rPr>
        <w:t xml:space="preserve"> Google </w:t>
      </w:r>
      <w:proofErr w:type="spellStart"/>
      <w:r>
        <w:rPr>
          <w:rFonts w:ascii="Garamond" w:hAnsi="Garamond"/>
          <w:sz w:val="22"/>
          <w:szCs w:val="22"/>
        </w:rPr>
        <w:t>Building</w:t>
      </w:r>
      <w:proofErr w:type="spellEnd"/>
      <w:r>
        <w:rPr>
          <w:rFonts w:ascii="Garamond" w:hAnsi="Garamond"/>
          <w:sz w:val="22"/>
          <w:szCs w:val="22"/>
        </w:rPr>
        <w:t xml:space="preserve"> </w:t>
      </w:r>
      <w:proofErr w:type="spellStart"/>
      <w:r>
        <w:rPr>
          <w:rFonts w:ascii="Garamond" w:hAnsi="Garamond"/>
          <w:sz w:val="22"/>
          <w:szCs w:val="22"/>
        </w:rPr>
        <w:t>Footprint</w:t>
      </w:r>
      <w:proofErr w:type="spellEnd"/>
      <w:r>
        <w:rPr>
          <w:rFonts w:ascii="Garamond" w:hAnsi="Garamond"/>
          <w:sz w:val="22"/>
          <w:szCs w:val="22"/>
        </w:rPr>
        <w:t xml:space="preserve"> (2025)</w:t>
      </w:r>
      <w:r>
        <w:rPr>
          <w:rFonts w:ascii="Garamond" w:hAnsi="Garamond"/>
          <w:sz w:val="22"/>
          <w:szCs w:val="22"/>
        </w:rPr>
        <w:t xml:space="preserve"> y SDP</w:t>
      </w:r>
      <w:r w:rsidR="000D0BAC">
        <w:rPr>
          <w:rFonts w:ascii="Garamond" w:hAnsi="Garamond"/>
          <w:sz w:val="22"/>
          <w:szCs w:val="22"/>
        </w:rPr>
        <w:t xml:space="preserve"> (2021)</w:t>
      </w:r>
      <w:r>
        <w:rPr>
          <w:rFonts w:ascii="Garamond" w:hAnsi="Garamond"/>
          <w:sz w:val="22"/>
          <w:szCs w:val="22"/>
        </w:rPr>
        <w:t>.</w:t>
      </w:r>
    </w:p>
    <w:p w:rsidRPr="00D11C96" w:rsidR="00210575" w:rsidP="00573EDC" w:rsidRDefault="00210575" w14:paraId="4B88F29D" w14:textId="39C998FB">
      <w:pPr>
        <w:jc w:val="both"/>
        <w:rPr>
          <w:rFonts w:ascii="Times New Roman" w:hAnsi="Times New Roman" w:cs="Times New Roman"/>
          <w:sz w:val="22"/>
          <w:szCs w:val="22"/>
        </w:rPr>
      </w:pPr>
      <w:r w:rsidRPr="00D11C96">
        <w:rPr>
          <w:rFonts w:ascii="Garamond" w:hAnsi="Garamond"/>
          <w:sz w:val="22"/>
          <w:szCs w:val="22"/>
        </w:rPr>
        <w:t>De esta información se obtiene entonces un total de 35.974,1 hectáreas de suelo urbano y de expansión sin huella urbana que sumadas a 23.808,3 hectáreas de áreas de tratamiento</w:t>
      </w:r>
      <w:r w:rsidRPr="00D11C96">
        <w:rPr>
          <w:rFonts w:ascii="Garamond" w:hAnsi="Garamond"/>
          <w:b/>
          <w:bCs/>
          <w:sz w:val="22"/>
          <w:szCs w:val="22"/>
        </w:rPr>
        <w:t xml:space="preserve"> diferente a Desarrollo, </w:t>
      </w:r>
      <w:r w:rsidRPr="00D11C96">
        <w:rPr>
          <w:rFonts w:ascii="Garamond" w:hAnsi="Garamond"/>
          <w:sz w:val="22"/>
          <w:szCs w:val="22"/>
        </w:rPr>
        <w:t>es decir con potencial de generación de vivienda en suelo ya construido</w:t>
      </w:r>
      <w:r w:rsidRPr="00D11C96">
        <w:rPr>
          <w:rFonts w:ascii="Times New Roman" w:hAnsi="Times New Roman" w:cs="Times New Roman"/>
          <w:sz w:val="22"/>
          <w:szCs w:val="22"/>
        </w:rPr>
        <w:t xml:space="preserve">, se tendrían al menos 83806,1 </w:t>
      </w:r>
      <w:proofErr w:type="spellStart"/>
      <w:r w:rsidRPr="00D11C96">
        <w:rPr>
          <w:rFonts w:ascii="Times New Roman" w:hAnsi="Times New Roman" w:cs="Times New Roman"/>
          <w:sz w:val="22"/>
          <w:szCs w:val="22"/>
        </w:rPr>
        <w:t>hectareas</w:t>
      </w:r>
      <w:proofErr w:type="spellEnd"/>
      <w:r w:rsidRPr="00D11C96">
        <w:rPr>
          <w:rFonts w:ascii="Times New Roman" w:hAnsi="Times New Roman" w:cs="Times New Roman"/>
          <w:sz w:val="22"/>
          <w:szCs w:val="22"/>
        </w:rPr>
        <w:t xml:space="preserve"> con potencial de generación de vivienda en la Sabana de Bogotá, como se muestra a continuación:</w:t>
      </w:r>
    </w:p>
    <w:p w:rsidR="00FE67DE" w:rsidP="00FE67DE" w:rsidRDefault="00FE67DE" w14:paraId="159D4B0A" w14:textId="31125C14">
      <w:pPr>
        <w:pStyle w:val="Caption"/>
        <w:keepNext/>
        <w:jc w:val="center"/>
      </w:pPr>
      <w:r>
        <w:t xml:space="preserve">Tabla </w:t>
      </w:r>
      <w:r>
        <w:fldChar w:fldCharType="begin"/>
      </w:r>
      <w:r>
        <w:instrText xml:space="preserve"> SEQ Tabla \* ARABIC </w:instrText>
      </w:r>
      <w:r>
        <w:fldChar w:fldCharType="separate"/>
      </w:r>
      <w:r w:rsidR="006E2525">
        <w:rPr>
          <w:noProof/>
        </w:rPr>
        <w:t>6</w:t>
      </w:r>
      <w:r>
        <w:fldChar w:fldCharType="end"/>
      </w:r>
      <w:r>
        <w:t xml:space="preserve">. </w:t>
      </w:r>
      <w:proofErr w:type="spellStart"/>
      <w:r>
        <w:t>H</w:t>
      </w:r>
      <w:r w:rsidRPr="004652EA">
        <w:t>ectareas</w:t>
      </w:r>
      <w:proofErr w:type="spellEnd"/>
      <w:r w:rsidRPr="004652EA">
        <w:t xml:space="preserve"> con potencial de generación de vivienda en la Sabana de Bogotá</w:t>
      </w:r>
    </w:p>
    <w:tbl>
      <w:tblPr>
        <w:tblW w:w="9344"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3504"/>
        <w:gridCol w:w="1348"/>
        <w:gridCol w:w="2407"/>
        <w:gridCol w:w="2085"/>
      </w:tblGrid>
      <w:tr w:rsidRPr="00D11C96" w:rsidR="00210575" w:rsidTr="00993D52" w14:paraId="07136584" w14:textId="77777777">
        <w:trPr>
          <w:trHeight w:val="570"/>
        </w:trPr>
        <w:tc>
          <w:tcPr>
            <w:tcW w:w="4852" w:type="dxa"/>
            <w:gridSpan w:val="2"/>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539D7CE5" w14:textId="55EC3C6A">
            <w:pPr>
              <w:spacing w:after="0" w:line="240" w:lineRule="auto"/>
              <w:jc w:val="center"/>
              <w:rPr>
                <w:rFonts w:ascii="Garamond" w:hAnsi="Garamond"/>
                <w:b/>
                <w:bCs/>
                <w:sz w:val="22"/>
                <w:szCs w:val="22"/>
              </w:rPr>
            </w:pPr>
            <w:proofErr w:type="spellStart"/>
            <w:r w:rsidRPr="00D11C96">
              <w:rPr>
                <w:rFonts w:ascii="Garamond" w:hAnsi="Garamond"/>
                <w:b/>
                <w:bCs/>
                <w:sz w:val="22"/>
                <w:szCs w:val="22"/>
              </w:rPr>
              <w:t>Building</w:t>
            </w:r>
            <w:proofErr w:type="spellEnd"/>
            <w:r w:rsidRPr="00D11C96">
              <w:rPr>
                <w:rFonts w:ascii="Garamond" w:hAnsi="Garamond"/>
                <w:b/>
                <w:bCs/>
                <w:sz w:val="22"/>
                <w:szCs w:val="22"/>
              </w:rPr>
              <w:t> </w:t>
            </w:r>
            <w:proofErr w:type="spellStart"/>
            <w:r w:rsidRPr="00D11C96">
              <w:rPr>
                <w:rFonts w:ascii="Garamond" w:hAnsi="Garamond"/>
                <w:b/>
                <w:bCs/>
                <w:sz w:val="22"/>
                <w:szCs w:val="22"/>
              </w:rPr>
              <w:t>Footprint</w:t>
            </w:r>
            <w:proofErr w:type="spellEnd"/>
            <w:r w:rsidRPr="00D11C96">
              <w:rPr>
                <w:rFonts w:ascii="Garamond" w:hAnsi="Garamond"/>
                <w:b/>
                <w:bCs/>
                <w:sz w:val="22"/>
                <w:szCs w:val="22"/>
              </w:rPr>
              <w:t> por Clasificación del Suelo de la Sabana sin Bogotá</w:t>
            </w:r>
            <w:r w:rsidRPr="00D11C96">
              <w:rPr>
                <w:rFonts w:ascii="Times New Roman" w:hAnsi="Times New Roman" w:cs="Times New Roman"/>
                <w:b/>
                <w:bCs/>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5BCD335C" w14:textId="77777777">
            <w:pPr>
              <w:spacing w:after="0" w:line="240" w:lineRule="auto"/>
              <w:jc w:val="center"/>
              <w:rPr>
                <w:rFonts w:ascii="Garamond" w:hAnsi="Garamond"/>
                <w:b/>
                <w:bCs/>
                <w:sz w:val="22"/>
                <w:szCs w:val="22"/>
              </w:rPr>
            </w:pPr>
            <w:r w:rsidRPr="00D11C96">
              <w:rPr>
                <w:rFonts w:ascii="Garamond" w:hAnsi="Garamond"/>
                <w:b/>
                <w:bCs/>
                <w:sz w:val="22"/>
                <w:szCs w:val="22"/>
              </w:rPr>
              <w:t>Clase y categoría del suelo de Bogotá D.C.</w:t>
            </w:r>
            <w:r w:rsidRPr="00D11C96">
              <w:rPr>
                <w:rFonts w:ascii="Times New Roman" w:hAnsi="Times New Roman" w:cs="Times New Roman"/>
                <w:b/>
                <w:bCs/>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A3825EA" w14:textId="77777777">
            <w:pPr>
              <w:spacing w:after="0" w:line="240" w:lineRule="auto"/>
              <w:jc w:val="center"/>
              <w:rPr>
                <w:rFonts w:ascii="Garamond" w:hAnsi="Garamond"/>
                <w:b/>
                <w:bCs/>
                <w:sz w:val="22"/>
                <w:szCs w:val="22"/>
              </w:rPr>
            </w:pPr>
            <w:r w:rsidRPr="00D11C96">
              <w:rPr>
                <w:rFonts w:ascii="Garamond" w:hAnsi="Garamond"/>
                <w:b/>
                <w:bCs/>
                <w:sz w:val="22"/>
                <w:szCs w:val="22"/>
              </w:rPr>
              <w:t>Suelo sin huella de construcción</w:t>
            </w:r>
            <w:r w:rsidRPr="00D11C96">
              <w:rPr>
                <w:rFonts w:ascii="Times New Roman" w:hAnsi="Times New Roman" w:cs="Times New Roman"/>
                <w:b/>
                <w:bCs/>
                <w:sz w:val="22"/>
                <w:szCs w:val="22"/>
              </w:rPr>
              <w:t>​</w:t>
            </w:r>
          </w:p>
        </w:tc>
      </w:tr>
      <w:tr w:rsidRPr="00D11C96" w:rsidR="00210575" w:rsidTr="00993D52" w14:paraId="23C10FD5" w14:textId="77777777">
        <w:trPr>
          <w:trHeight w:val="285"/>
        </w:trPr>
        <w:tc>
          <w:tcPr>
            <w:tcW w:w="3504"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0E2A34D3" w14:textId="77777777">
            <w:pPr>
              <w:spacing w:after="0" w:line="240" w:lineRule="auto"/>
              <w:jc w:val="center"/>
              <w:rPr>
                <w:rFonts w:ascii="Garamond" w:hAnsi="Garamond"/>
                <w:b/>
                <w:bCs/>
                <w:sz w:val="22"/>
                <w:szCs w:val="22"/>
              </w:rPr>
            </w:pPr>
            <w:r w:rsidRPr="00D11C96">
              <w:rPr>
                <w:rFonts w:ascii="Garamond" w:hAnsi="Garamond"/>
                <w:b/>
                <w:bCs/>
                <w:sz w:val="22"/>
                <w:szCs w:val="22"/>
              </w:rPr>
              <w:t>Clase / Categoría</w:t>
            </w:r>
            <w:r w:rsidRPr="00D11C96">
              <w:rPr>
                <w:rFonts w:ascii="Times New Roman" w:hAnsi="Times New Roman" w:cs="Times New Roman"/>
                <w:b/>
                <w:bCs/>
                <w:sz w:val="22"/>
                <w:szCs w:val="22"/>
              </w:rPr>
              <w:t>​</w:t>
            </w:r>
          </w:p>
        </w:tc>
        <w:tc>
          <w:tcPr>
            <w:tcW w:w="1348"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04393B27" w14:textId="77777777">
            <w:pPr>
              <w:spacing w:after="0" w:line="240" w:lineRule="auto"/>
              <w:jc w:val="center"/>
              <w:rPr>
                <w:rFonts w:ascii="Garamond" w:hAnsi="Garamond"/>
                <w:sz w:val="22"/>
                <w:szCs w:val="22"/>
              </w:rPr>
            </w:pPr>
            <w:r w:rsidRPr="00D11C96">
              <w:rPr>
                <w:rFonts w:ascii="Garamond" w:hAnsi="Garamond"/>
                <w:b/>
                <w:bCs/>
                <w:sz w:val="22"/>
                <w:szCs w:val="22"/>
              </w:rPr>
              <w:t>Área ha</w:t>
            </w:r>
            <w:r w:rsidRPr="00D11C96">
              <w:rPr>
                <w:rFonts w:ascii="Times New Roman" w:hAnsi="Times New Roman" w:cs="Times New Roman"/>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229EF8FF" w14:textId="77777777">
            <w:pPr>
              <w:spacing w:after="0" w:line="240" w:lineRule="auto"/>
              <w:jc w:val="center"/>
              <w:rPr>
                <w:rFonts w:ascii="Garamond" w:hAnsi="Garamond"/>
                <w:sz w:val="22"/>
                <w:szCs w:val="22"/>
              </w:rPr>
            </w:pPr>
            <w:r w:rsidRPr="00D11C96">
              <w:rPr>
                <w:rFonts w:ascii="Garamond" w:hAnsi="Garamond"/>
                <w:b/>
                <w:bCs/>
                <w:sz w:val="22"/>
                <w:szCs w:val="22"/>
              </w:rPr>
              <w:t>Área ha</w:t>
            </w:r>
            <w:r w:rsidRPr="00D11C96">
              <w:rPr>
                <w:rFonts w:ascii="Times New Roman" w:hAnsi="Times New Roman" w:cs="Times New Roman"/>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47C32075" w14:textId="77777777">
            <w:pPr>
              <w:spacing w:after="0" w:line="240" w:lineRule="auto"/>
              <w:jc w:val="center"/>
              <w:rPr>
                <w:rFonts w:ascii="Garamond" w:hAnsi="Garamond"/>
                <w:sz w:val="22"/>
                <w:szCs w:val="22"/>
              </w:rPr>
            </w:pPr>
            <w:r w:rsidRPr="00D11C96">
              <w:rPr>
                <w:rFonts w:ascii="Garamond" w:hAnsi="Garamond"/>
                <w:b/>
                <w:bCs/>
                <w:sz w:val="22"/>
                <w:szCs w:val="22"/>
              </w:rPr>
              <w:t>Área ha</w:t>
            </w:r>
            <w:r w:rsidRPr="00D11C96">
              <w:rPr>
                <w:rFonts w:ascii="Times New Roman" w:hAnsi="Times New Roman" w:cs="Times New Roman"/>
                <w:sz w:val="22"/>
                <w:szCs w:val="22"/>
              </w:rPr>
              <w:t>​</w:t>
            </w:r>
          </w:p>
        </w:tc>
      </w:tr>
      <w:tr w:rsidRPr="00D11C96" w:rsidR="00210575" w:rsidTr="00993D52" w14:paraId="0C7ACBA3" w14:textId="77777777">
        <w:trPr>
          <w:trHeight w:val="34"/>
        </w:trPr>
        <w:tc>
          <w:tcPr>
            <w:tcW w:w="3504"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4089245D" w14:textId="77777777">
            <w:pPr>
              <w:spacing w:after="0" w:line="240" w:lineRule="auto"/>
              <w:jc w:val="center"/>
              <w:rPr>
                <w:rFonts w:ascii="Garamond" w:hAnsi="Garamond"/>
                <w:b/>
                <w:bCs/>
                <w:sz w:val="22"/>
                <w:szCs w:val="22"/>
              </w:rPr>
            </w:pPr>
            <w:r w:rsidRPr="00D11C96">
              <w:rPr>
                <w:rFonts w:ascii="Garamond" w:hAnsi="Garamond"/>
                <w:b/>
                <w:bCs/>
                <w:sz w:val="22"/>
                <w:szCs w:val="22"/>
              </w:rPr>
              <w:t>1.2 Suelo Rural con </w:t>
            </w:r>
            <w:proofErr w:type="spellStart"/>
            <w:r w:rsidRPr="00D11C96">
              <w:rPr>
                <w:rFonts w:ascii="Garamond" w:hAnsi="Garamond"/>
                <w:b/>
                <w:bCs/>
                <w:sz w:val="22"/>
                <w:szCs w:val="22"/>
              </w:rPr>
              <w:t>Categoria</w:t>
            </w:r>
            <w:proofErr w:type="spellEnd"/>
            <w:r w:rsidRPr="00D11C96">
              <w:rPr>
                <w:rFonts w:ascii="Garamond" w:hAnsi="Garamond"/>
                <w:b/>
                <w:bCs/>
                <w:sz w:val="22"/>
                <w:szCs w:val="22"/>
              </w:rPr>
              <w:t> de </w:t>
            </w:r>
            <w:proofErr w:type="spellStart"/>
            <w:r w:rsidRPr="00D11C96">
              <w:rPr>
                <w:rFonts w:ascii="Garamond" w:hAnsi="Garamond"/>
                <w:b/>
                <w:bCs/>
                <w:sz w:val="22"/>
                <w:szCs w:val="22"/>
              </w:rPr>
              <w:t>Dllo</w:t>
            </w:r>
            <w:proofErr w:type="spellEnd"/>
            <w:r w:rsidRPr="00D11C96">
              <w:rPr>
                <w:rFonts w:ascii="Garamond" w:hAnsi="Garamond"/>
                <w:b/>
                <w:bCs/>
                <w:sz w:val="22"/>
                <w:szCs w:val="22"/>
              </w:rPr>
              <w:t> restringido</w:t>
            </w:r>
            <w:r w:rsidRPr="00D11C96">
              <w:rPr>
                <w:rFonts w:ascii="Times New Roman" w:hAnsi="Times New Roman" w:cs="Times New Roman"/>
                <w:b/>
                <w:bCs/>
                <w:sz w:val="22"/>
                <w:szCs w:val="22"/>
              </w:rPr>
              <w:t>​</w:t>
            </w:r>
          </w:p>
        </w:tc>
        <w:tc>
          <w:tcPr>
            <w:tcW w:w="1348"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844D049" w14:textId="77777777">
            <w:pPr>
              <w:spacing w:after="0" w:line="240" w:lineRule="auto"/>
              <w:jc w:val="center"/>
              <w:rPr>
                <w:rFonts w:ascii="Garamond" w:hAnsi="Garamond"/>
                <w:sz w:val="22"/>
                <w:szCs w:val="22"/>
              </w:rPr>
            </w:pPr>
            <w:r w:rsidRPr="00D11C96">
              <w:rPr>
                <w:rFonts w:ascii="Garamond" w:hAnsi="Garamond"/>
                <w:sz w:val="22"/>
                <w:szCs w:val="22"/>
              </w:rPr>
              <w:t>1505</w:t>
            </w:r>
            <w:r w:rsidRPr="00D11C96">
              <w:rPr>
                <w:rFonts w:ascii="Times New Roman" w:hAnsi="Times New Roman" w:cs="Times New Roman"/>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32F76BD1" w14:textId="77777777">
            <w:pPr>
              <w:spacing w:after="0" w:line="240" w:lineRule="auto"/>
              <w:jc w:val="center"/>
              <w:rPr>
                <w:rFonts w:ascii="Garamond" w:hAnsi="Garamond"/>
                <w:sz w:val="22"/>
                <w:szCs w:val="22"/>
              </w:rPr>
            </w:pPr>
            <w:r w:rsidRPr="00D11C96">
              <w:rPr>
                <w:rFonts w:ascii="Garamond" w:hAnsi="Garamond"/>
                <w:sz w:val="22"/>
                <w:szCs w:val="22"/>
              </w:rPr>
              <w:t>25529.0</w:t>
            </w:r>
            <w:r w:rsidRPr="00D11C96">
              <w:rPr>
                <w:rFonts w:ascii="Times New Roman" w:hAnsi="Times New Roman" w:cs="Times New Roman"/>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58F00EF6" w14:textId="77777777">
            <w:pPr>
              <w:spacing w:after="0" w:line="240" w:lineRule="auto"/>
              <w:jc w:val="center"/>
              <w:rPr>
                <w:rFonts w:ascii="Garamond" w:hAnsi="Garamond"/>
                <w:sz w:val="22"/>
                <w:szCs w:val="22"/>
              </w:rPr>
            </w:pPr>
            <w:r w:rsidRPr="00D11C96">
              <w:rPr>
                <w:rFonts w:ascii="Garamond" w:hAnsi="Garamond"/>
                <w:sz w:val="22"/>
                <w:szCs w:val="22"/>
              </w:rPr>
              <w:t>24024.0</w:t>
            </w:r>
            <w:r w:rsidRPr="00D11C96">
              <w:rPr>
                <w:rFonts w:ascii="Times New Roman" w:hAnsi="Times New Roman" w:cs="Times New Roman"/>
                <w:sz w:val="22"/>
                <w:szCs w:val="22"/>
              </w:rPr>
              <w:t>​</w:t>
            </w:r>
          </w:p>
        </w:tc>
      </w:tr>
      <w:tr w:rsidRPr="00D11C96" w:rsidR="00210575" w:rsidTr="00993D52" w14:paraId="18615E0A" w14:textId="77777777">
        <w:trPr>
          <w:trHeight w:val="573"/>
        </w:trPr>
        <w:tc>
          <w:tcPr>
            <w:tcW w:w="3504"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5DE2DEA4" w14:textId="77777777">
            <w:pPr>
              <w:spacing w:after="0" w:line="240" w:lineRule="auto"/>
              <w:jc w:val="center"/>
              <w:rPr>
                <w:rFonts w:ascii="Garamond" w:hAnsi="Garamond"/>
                <w:b/>
                <w:bCs/>
                <w:sz w:val="22"/>
                <w:szCs w:val="22"/>
              </w:rPr>
            </w:pPr>
            <w:r w:rsidRPr="00D11C96">
              <w:rPr>
                <w:rFonts w:ascii="Garamond" w:hAnsi="Garamond"/>
                <w:b/>
                <w:bCs/>
                <w:sz w:val="22"/>
                <w:szCs w:val="22"/>
              </w:rPr>
              <w:t>2. Suelo Urbano + Áreas de tratamientos con potencial normativo de vivienda (Excluyendo tratamiento de desarrollo) *Solo para Bogotá</w:t>
            </w:r>
            <w:r w:rsidRPr="00D11C96">
              <w:rPr>
                <w:rFonts w:ascii="Times New Roman" w:hAnsi="Times New Roman" w:cs="Times New Roman"/>
                <w:b/>
                <w:bCs/>
                <w:sz w:val="22"/>
                <w:szCs w:val="22"/>
              </w:rPr>
              <w:t>​</w:t>
            </w:r>
          </w:p>
        </w:tc>
        <w:tc>
          <w:tcPr>
            <w:tcW w:w="1348"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3841CC8" w14:textId="77777777">
            <w:pPr>
              <w:spacing w:after="0" w:line="240" w:lineRule="auto"/>
              <w:jc w:val="center"/>
              <w:rPr>
                <w:rFonts w:ascii="Garamond" w:hAnsi="Garamond"/>
                <w:sz w:val="22"/>
                <w:szCs w:val="22"/>
              </w:rPr>
            </w:pPr>
            <w:r w:rsidRPr="00D11C96">
              <w:rPr>
                <w:rFonts w:ascii="Garamond" w:hAnsi="Garamond"/>
                <w:sz w:val="22"/>
                <w:szCs w:val="22"/>
              </w:rPr>
              <w:t>14134</w:t>
            </w:r>
            <w:r w:rsidRPr="00D11C96">
              <w:rPr>
                <w:rFonts w:ascii="Times New Roman" w:hAnsi="Times New Roman" w:cs="Times New Roman"/>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5E511160" w14:textId="77777777">
            <w:pPr>
              <w:spacing w:after="0" w:line="240" w:lineRule="auto"/>
              <w:jc w:val="center"/>
              <w:rPr>
                <w:rFonts w:ascii="Garamond" w:hAnsi="Garamond"/>
                <w:sz w:val="22"/>
                <w:szCs w:val="22"/>
              </w:rPr>
            </w:pPr>
            <w:r w:rsidRPr="00D11C96">
              <w:rPr>
                <w:rFonts w:ascii="Garamond" w:hAnsi="Garamond"/>
                <w:sz w:val="22"/>
                <w:szCs w:val="22"/>
              </w:rPr>
              <w:t>69909.4</w:t>
            </w:r>
            <w:r w:rsidRPr="00D11C96">
              <w:rPr>
                <w:rFonts w:ascii="Times New Roman" w:hAnsi="Times New Roman" w:cs="Times New Roman"/>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7147F37" w14:textId="77777777">
            <w:pPr>
              <w:spacing w:after="0" w:line="240" w:lineRule="auto"/>
              <w:jc w:val="center"/>
              <w:rPr>
                <w:rFonts w:ascii="Garamond" w:hAnsi="Garamond"/>
                <w:sz w:val="22"/>
                <w:szCs w:val="22"/>
              </w:rPr>
            </w:pPr>
            <w:r w:rsidRPr="00D11C96">
              <w:rPr>
                <w:rFonts w:ascii="Garamond" w:hAnsi="Garamond"/>
                <w:sz w:val="22"/>
                <w:szCs w:val="22"/>
              </w:rPr>
              <w:t>55775.4</w:t>
            </w:r>
            <w:r w:rsidRPr="00D11C96">
              <w:rPr>
                <w:rFonts w:ascii="Times New Roman" w:hAnsi="Times New Roman" w:cs="Times New Roman"/>
                <w:sz w:val="22"/>
                <w:szCs w:val="22"/>
              </w:rPr>
              <w:t>​</w:t>
            </w:r>
          </w:p>
        </w:tc>
      </w:tr>
      <w:tr w:rsidRPr="00D11C96" w:rsidR="00210575" w:rsidTr="00993D52" w14:paraId="0F0C7773" w14:textId="77777777">
        <w:trPr>
          <w:trHeight w:val="285"/>
        </w:trPr>
        <w:tc>
          <w:tcPr>
            <w:tcW w:w="3504"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A615F2D" w14:textId="77777777">
            <w:pPr>
              <w:spacing w:after="0" w:line="240" w:lineRule="auto"/>
              <w:jc w:val="center"/>
              <w:rPr>
                <w:rFonts w:ascii="Garamond" w:hAnsi="Garamond"/>
                <w:b/>
                <w:bCs/>
                <w:sz w:val="22"/>
                <w:szCs w:val="22"/>
              </w:rPr>
            </w:pPr>
            <w:r w:rsidRPr="00D11C96">
              <w:rPr>
                <w:rFonts w:ascii="Garamond" w:hAnsi="Garamond"/>
                <w:b/>
                <w:bCs/>
                <w:sz w:val="22"/>
                <w:szCs w:val="22"/>
              </w:rPr>
              <w:t>3. Suelo Expansión</w:t>
            </w:r>
            <w:r w:rsidRPr="00D11C96">
              <w:rPr>
                <w:rFonts w:ascii="Times New Roman" w:hAnsi="Times New Roman" w:cs="Times New Roman"/>
                <w:b/>
                <w:bCs/>
                <w:sz w:val="22"/>
                <w:szCs w:val="22"/>
              </w:rPr>
              <w:t>​</w:t>
            </w:r>
          </w:p>
        </w:tc>
        <w:tc>
          <w:tcPr>
            <w:tcW w:w="1348"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348D2E5F" w14:textId="77777777">
            <w:pPr>
              <w:spacing w:after="0" w:line="240" w:lineRule="auto"/>
              <w:jc w:val="center"/>
              <w:rPr>
                <w:rFonts w:ascii="Garamond" w:hAnsi="Garamond"/>
                <w:sz w:val="22"/>
                <w:szCs w:val="22"/>
              </w:rPr>
            </w:pPr>
            <w:r w:rsidRPr="00D11C96">
              <w:rPr>
                <w:rFonts w:ascii="Garamond" w:hAnsi="Garamond"/>
                <w:sz w:val="22"/>
                <w:szCs w:val="22"/>
              </w:rPr>
              <w:t>566.4</w:t>
            </w:r>
            <w:r w:rsidRPr="00D11C96">
              <w:rPr>
                <w:rFonts w:ascii="Times New Roman" w:hAnsi="Times New Roman" w:cs="Times New Roman"/>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2738B101" w14:textId="77777777">
            <w:pPr>
              <w:spacing w:after="0" w:line="240" w:lineRule="auto"/>
              <w:jc w:val="center"/>
              <w:rPr>
                <w:rFonts w:ascii="Garamond" w:hAnsi="Garamond"/>
                <w:sz w:val="22"/>
                <w:szCs w:val="22"/>
              </w:rPr>
            </w:pPr>
            <w:r w:rsidRPr="00D11C96">
              <w:rPr>
                <w:rFonts w:ascii="Garamond" w:hAnsi="Garamond"/>
                <w:sz w:val="22"/>
                <w:szCs w:val="22"/>
              </w:rPr>
              <w:t>4573.1</w:t>
            </w:r>
            <w:r w:rsidRPr="00D11C96">
              <w:rPr>
                <w:rFonts w:ascii="Times New Roman" w:hAnsi="Times New Roman" w:cs="Times New Roman"/>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44EB3992" w14:textId="77777777">
            <w:pPr>
              <w:spacing w:after="0" w:line="240" w:lineRule="auto"/>
              <w:jc w:val="center"/>
              <w:rPr>
                <w:rFonts w:ascii="Garamond" w:hAnsi="Garamond"/>
                <w:sz w:val="22"/>
                <w:szCs w:val="22"/>
              </w:rPr>
            </w:pPr>
            <w:r w:rsidRPr="00D11C96">
              <w:rPr>
                <w:rFonts w:ascii="Garamond" w:hAnsi="Garamond"/>
                <w:sz w:val="22"/>
                <w:szCs w:val="22"/>
              </w:rPr>
              <w:t>4006.7</w:t>
            </w:r>
            <w:r w:rsidRPr="00D11C96">
              <w:rPr>
                <w:rFonts w:ascii="Times New Roman" w:hAnsi="Times New Roman" w:cs="Times New Roman"/>
                <w:sz w:val="22"/>
                <w:szCs w:val="22"/>
              </w:rPr>
              <w:t>​</w:t>
            </w:r>
          </w:p>
        </w:tc>
      </w:tr>
      <w:tr w:rsidRPr="00D11C96" w:rsidR="00210575" w:rsidTr="00993D52" w14:paraId="06DBFDA4" w14:textId="77777777">
        <w:trPr>
          <w:trHeight w:val="285"/>
        </w:trPr>
        <w:tc>
          <w:tcPr>
            <w:tcW w:w="3504"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C4F2F59" w14:textId="77777777">
            <w:pPr>
              <w:spacing w:after="0" w:line="240" w:lineRule="auto"/>
              <w:jc w:val="center"/>
              <w:rPr>
                <w:rFonts w:ascii="Garamond" w:hAnsi="Garamond"/>
                <w:b/>
                <w:bCs/>
                <w:sz w:val="22"/>
                <w:szCs w:val="22"/>
              </w:rPr>
            </w:pPr>
            <w:r w:rsidRPr="00D11C96">
              <w:rPr>
                <w:rFonts w:ascii="Garamond" w:hAnsi="Garamond"/>
                <w:b/>
                <w:bCs/>
                <w:sz w:val="22"/>
                <w:szCs w:val="22"/>
              </w:rPr>
              <w:t>Total</w:t>
            </w:r>
            <w:r w:rsidRPr="00D11C96">
              <w:rPr>
                <w:rFonts w:ascii="Times New Roman" w:hAnsi="Times New Roman" w:cs="Times New Roman"/>
                <w:b/>
                <w:bCs/>
                <w:sz w:val="22"/>
                <w:szCs w:val="22"/>
              </w:rPr>
              <w:t>​</w:t>
            </w:r>
          </w:p>
        </w:tc>
        <w:tc>
          <w:tcPr>
            <w:tcW w:w="1348"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34D8487E" w14:textId="77777777">
            <w:pPr>
              <w:spacing w:after="0" w:line="240" w:lineRule="auto"/>
              <w:jc w:val="center"/>
              <w:rPr>
                <w:rFonts w:ascii="Garamond" w:hAnsi="Garamond"/>
                <w:sz w:val="22"/>
                <w:szCs w:val="22"/>
              </w:rPr>
            </w:pPr>
            <w:r w:rsidRPr="00D11C96">
              <w:rPr>
                <w:rFonts w:ascii="Garamond" w:hAnsi="Garamond"/>
                <w:b/>
                <w:bCs/>
                <w:sz w:val="22"/>
                <w:szCs w:val="22"/>
              </w:rPr>
              <w:t>16205.4</w:t>
            </w:r>
            <w:r w:rsidRPr="00D11C96">
              <w:rPr>
                <w:rFonts w:ascii="Times New Roman" w:hAnsi="Times New Roman" w:cs="Times New Roman"/>
                <w:sz w:val="22"/>
                <w:szCs w:val="22"/>
              </w:rPr>
              <w:t>​</w:t>
            </w:r>
          </w:p>
        </w:tc>
        <w:tc>
          <w:tcPr>
            <w:tcW w:w="2407"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6861D79F" w14:textId="77777777">
            <w:pPr>
              <w:spacing w:after="0" w:line="240" w:lineRule="auto"/>
              <w:jc w:val="center"/>
              <w:rPr>
                <w:rFonts w:ascii="Garamond" w:hAnsi="Garamond"/>
                <w:sz w:val="22"/>
                <w:szCs w:val="22"/>
              </w:rPr>
            </w:pPr>
            <w:r w:rsidRPr="00D11C96">
              <w:rPr>
                <w:rFonts w:ascii="Garamond" w:hAnsi="Garamond"/>
                <w:b/>
                <w:bCs/>
                <w:sz w:val="22"/>
                <w:szCs w:val="22"/>
              </w:rPr>
              <w:t>100011.5</w:t>
            </w:r>
            <w:r w:rsidRPr="00D11C96">
              <w:rPr>
                <w:rFonts w:ascii="Times New Roman" w:hAnsi="Times New Roman" w:cs="Times New Roman"/>
                <w:sz w:val="22"/>
                <w:szCs w:val="22"/>
              </w:rPr>
              <w:t>​</w:t>
            </w:r>
          </w:p>
        </w:tc>
        <w:tc>
          <w:tcPr>
            <w:tcW w:w="2085" w:type="dxa"/>
            <w:tcBorders>
              <w:top w:val="single" w:color="000000" w:sz="6" w:space="0"/>
              <w:left w:val="single" w:color="000000" w:sz="6" w:space="0"/>
              <w:bottom w:val="single" w:color="000000" w:sz="6" w:space="0"/>
              <w:right w:val="single" w:color="000000" w:sz="6" w:space="0"/>
            </w:tcBorders>
            <w:vAlign w:val="center"/>
            <w:hideMark/>
          </w:tcPr>
          <w:p w:rsidRPr="00D11C96" w:rsidR="00210575" w:rsidP="00993D52" w:rsidRDefault="00210575" w14:paraId="0C99E467" w14:textId="77777777">
            <w:pPr>
              <w:spacing w:after="0" w:line="240" w:lineRule="auto"/>
              <w:jc w:val="center"/>
              <w:rPr>
                <w:rFonts w:ascii="Garamond" w:hAnsi="Garamond"/>
                <w:sz w:val="22"/>
                <w:szCs w:val="22"/>
              </w:rPr>
            </w:pPr>
            <w:r w:rsidRPr="00D11C96">
              <w:rPr>
                <w:rFonts w:ascii="Garamond" w:hAnsi="Garamond"/>
                <w:b/>
                <w:bCs/>
                <w:sz w:val="22"/>
                <w:szCs w:val="22"/>
              </w:rPr>
              <w:t>83806.1</w:t>
            </w:r>
            <w:r w:rsidRPr="00D11C96">
              <w:rPr>
                <w:rFonts w:ascii="Times New Roman" w:hAnsi="Times New Roman" w:cs="Times New Roman"/>
                <w:sz w:val="22"/>
                <w:szCs w:val="22"/>
              </w:rPr>
              <w:t>​</w:t>
            </w:r>
          </w:p>
        </w:tc>
      </w:tr>
    </w:tbl>
    <w:p w:rsidRPr="00D11C96" w:rsidR="00D72A3C" w:rsidP="00D72A3C" w:rsidRDefault="00D72A3C" w14:paraId="1E35F455" w14:textId="1EEA1E3D">
      <w:pPr>
        <w:jc w:val="center"/>
        <w:rPr>
          <w:rFonts w:ascii="Garamond" w:hAnsi="Garamond"/>
          <w:sz w:val="22"/>
          <w:szCs w:val="22"/>
        </w:rPr>
      </w:pPr>
      <w:r w:rsidRPr="00D11C96">
        <w:rPr>
          <w:rFonts w:ascii="Garamond" w:hAnsi="Garamond"/>
          <w:sz w:val="22"/>
          <w:szCs w:val="22"/>
        </w:rPr>
        <w:t xml:space="preserve">Fuente: </w:t>
      </w:r>
      <w:proofErr w:type="spellStart"/>
      <w:r w:rsidRPr="00D11C96">
        <w:rPr>
          <w:rFonts w:ascii="Garamond" w:hAnsi="Garamond"/>
          <w:sz w:val="22"/>
          <w:szCs w:val="22"/>
        </w:rPr>
        <w:t>MinAmbiente</w:t>
      </w:r>
      <w:proofErr w:type="spellEnd"/>
      <w:r w:rsidRPr="00D11C96">
        <w:rPr>
          <w:rFonts w:ascii="Garamond" w:hAnsi="Garamond"/>
          <w:sz w:val="22"/>
          <w:szCs w:val="22"/>
        </w:rPr>
        <w:t xml:space="preserve"> (2025)</w:t>
      </w:r>
      <w:r>
        <w:rPr>
          <w:rFonts w:ascii="Garamond" w:hAnsi="Garamond"/>
          <w:sz w:val="22"/>
          <w:szCs w:val="22"/>
        </w:rPr>
        <w:t xml:space="preserve"> con datos del Decreto 555 de 2021,</w:t>
      </w:r>
      <w:r>
        <w:rPr>
          <w:rFonts w:ascii="Garamond" w:hAnsi="Garamond"/>
          <w:sz w:val="22"/>
          <w:szCs w:val="22"/>
        </w:rPr>
        <w:t xml:space="preserve"> CAR (2025),</w:t>
      </w:r>
      <w:r>
        <w:rPr>
          <w:rFonts w:ascii="Garamond" w:hAnsi="Garamond"/>
          <w:sz w:val="22"/>
          <w:szCs w:val="22"/>
        </w:rPr>
        <w:t xml:space="preserve"> Google </w:t>
      </w:r>
      <w:proofErr w:type="spellStart"/>
      <w:r>
        <w:rPr>
          <w:rFonts w:ascii="Garamond" w:hAnsi="Garamond"/>
          <w:sz w:val="22"/>
          <w:szCs w:val="22"/>
        </w:rPr>
        <w:t>Building</w:t>
      </w:r>
      <w:proofErr w:type="spellEnd"/>
      <w:r>
        <w:rPr>
          <w:rFonts w:ascii="Garamond" w:hAnsi="Garamond"/>
          <w:sz w:val="22"/>
          <w:szCs w:val="22"/>
        </w:rPr>
        <w:t xml:space="preserve"> </w:t>
      </w:r>
      <w:proofErr w:type="spellStart"/>
      <w:r>
        <w:rPr>
          <w:rFonts w:ascii="Garamond" w:hAnsi="Garamond"/>
          <w:sz w:val="22"/>
          <w:szCs w:val="22"/>
        </w:rPr>
        <w:t>Footprint</w:t>
      </w:r>
      <w:proofErr w:type="spellEnd"/>
      <w:r>
        <w:rPr>
          <w:rFonts w:ascii="Garamond" w:hAnsi="Garamond"/>
          <w:sz w:val="22"/>
          <w:szCs w:val="22"/>
        </w:rPr>
        <w:t xml:space="preserve"> (2025) y SDP (2021).</w:t>
      </w:r>
    </w:p>
    <w:p w:rsidRPr="00D11C96" w:rsidR="00993D52" w:rsidP="00993D52" w:rsidRDefault="00993D52" w14:paraId="1527C7BF" w14:textId="3C58EDA3">
      <w:pPr>
        <w:jc w:val="both"/>
        <w:rPr>
          <w:rFonts w:ascii="Garamond" w:hAnsi="Garamond"/>
          <w:sz w:val="22"/>
          <w:szCs w:val="22"/>
        </w:rPr>
      </w:pPr>
      <w:r w:rsidRPr="00D11C96">
        <w:rPr>
          <w:rFonts w:ascii="Garamond" w:hAnsi="Garamond"/>
          <w:sz w:val="22"/>
          <w:szCs w:val="22"/>
        </w:rPr>
        <w:t>Esta cuantificación es importante en la medida que cuando se contrasta con la información actual de la Sociedad de Mejoras y Ornato de Bogotá (SMOB, 2025) frente a el área requerida de suelo para vivienda, se requiere de entre 2.385 ha y 2.828 ha de área para cubrir la demanda de suelo en Bogotá Región al 2035. Es decir que la Sabana de Bogotá cuenta con más de 80.000 ha de suelo disponible para el 2035.</w:t>
      </w:r>
    </w:p>
    <w:p w:rsidRPr="00D11C96" w:rsidR="00573EDC" w:rsidP="00CF373C" w:rsidRDefault="00573EDC" w14:paraId="28392FF5" w14:textId="5EAEBF44">
      <w:pPr>
        <w:jc w:val="both"/>
        <w:rPr>
          <w:rFonts w:ascii="Garamond" w:hAnsi="Garamond"/>
          <w:sz w:val="22"/>
          <w:szCs w:val="22"/>
        </w:rPr>
      </w:pPr>
      <w:r w:rsidRPr="00D11C96">
        <w:rPr>
          <w:rFonts w:ascii="Garamond" w:hAnsi="Garamond"/>
          <w:sz w:val="22"/>
          <w:szCs w:val="22"/>
        </w:rPr>
        <w:t xml:space="preserve">De acuerdo con datos de CAMACOL (2025), en la actualidad existen 223 planes parciales en la Sabana de Bogotá, adoptados y en formulación, que equivalen a 5.823 ha, de los cuales 57 planes parciales que suman </w:t>
      </w:r>
      <w:r w:rsidRPr="00D11C96">
        <w:rPr>
          <w:rFonts w:ascii="Garamond" w:hAnsi="Garamond"/>
          <w:sz w:val="22"/>
          <w:szCs w:val="22"/>
        </w:rPr>
        <w:t>2.821 ha</w:t>
      </w:r>
      <w:r w:rsidR="00CF373C">
        <w:rPr>
          <w:rFonts w:ascii="Garamond" w:hAnsi="Garamond"/>
          <w:sz w:val="22"/>
          <w:szCs w:val="22"/>
        </w:rPr>
        <w:t xml:space="preserve">. </w:t>
      </w:r>
      <w:r w:rsidRPr="00D11C96">
        <w:rPr>
          <w:rFonts w:ascii="Garamond" w:hAnsi="Garamond"/>
          <w:sz w:val="22"/>
          <w:szCs w:val="22"/>
        </w:rPr>
        <w:t>Estos planes parciales se encuentran en diferentes etapas de avance, donde la mayoría se encuentran con un decreto sancionado, 15 finalizados y 7 en formulación.</w:t>
      </w:r>
    </w:p>
    <w:p w:rsidR="00EB46AA" w:rsidP="00EB46AA" w:rsidRDefault="00EB46AA" w14:paraId="0E2C1279" w14:textId="123BBFC4">
      <w:pPr>
        <w:pStyle w:val="Caption"/>
        <w:keepNext/>
        <w:jc w:val="center"/>
      </w:pPr>
      <w:r>
        <w:t xml:space="preserve">Tabla </w:t>
      </w:r>
      <w:r>
        <w:fldChar w:fldCharType="begin"/>
      </w:r>
      <w:r>
        <w:instrText xml:space="preserve"> SEQ Tabla \* ARABIC </w:instrText>
      </w:r>
      <w:r>
        <w:fldChar w:fldCharType="separate"/>
      </w:r>
      <w:r w:rsidR="006E2525">
        <w:rPr>
          <w:noProof/>
        </w:rPr>
        <w:t>7</w:t>
      </w:r>
      <w:r>
        <w:fldChar w:fldCharType="end"/>
      </w:r>
      <w:r>
        <w:t>. Planes Parciales.</w:t>
      </w:r>
    </w:p>
    <w:tbl>
      <w:tblPr>
        <w:tblStyle w:val="TableGrid"/>
        <w:tblW w:w="0" w:type="auto"/>
        <w:jc w:val="center"/>
        <w:tblLook w:val="04A0" w:firstRow="1" w:lastRow="0" w:firstColumn="1" w:lastColumn="0" w:noHBand="0" w:noVBand="1"/>
      </w:tblPr>
      <w:tblGrid>
        <w:gridCol w:w="2337"/>
        <w:gridCol w:w="2337"/>
        <w:gridCol w:w="2338"/>
        <w:gridCol w:w="2338"/>
      </w:tblGrid>
      <w:tr w:rsidRPr="00D11C96" w:rsidR="00573EDC" w:rsidTr="139B1CFE" w14:paraId="58E8015A" w14:textId="77777777">
        <w:trPr>
          <w:jc w:val="center"/>
        </w:trPr>
        <w:tc>
          <w:tcPr>
            <w:tcW w:w="2337" w:type="dxa"/>
            <w:vAlign w:val="center"/>
          </w:tcPr>
          <w:p w:rsidRPr="00D11C96" w:rsidR="00573EDC" w:rsidP="002E1E34" w:rsidRDefault="00573EDC" w14:paraId="34F192D6" w14:textId="77777777">
            <w:pPr>
              <w:jc w:val="center"/>
              <w:rPr>
                <w:rFonts w:ascii="Garamond" w:hAnsi="Garamond"/>
                <w:sz w:val="22"/>
                <w:szCs w:val="22"/>
              </w:rPr>
            </w:pPr>
            <w:r w:rsidRPr="00D11C96">
              <w:rPr>
                <w:rFonts w:ascii="Garamond" w:hAnsi="Garamond"/>
                <w:sz w:val="22"/>
                <w:szCs w:val="22"/>
              </w:rPr>
              <w:t>Etapa</w:t>
            </w:r>
          </w:p>
        </w:tc>
        <w:tc>
          <w:tcPr>
            <w:tcW w:w="2337" w:type="dxa"/>
            <w:vAlign w:val="center"/>
          </w:tcPr>
          <w:p w:rsidRPr="00D11C96" w:rsidR="00573EDC" w:rsidP="002E1E34" w:rsidRDefault="00573EDC" w14:paraId="329AE480" w14:textId="77777777">
            <w:pPr>
              <w:jc w:val="center"/>
              <w:rPr>
                <w:rFonts w:ascii="Garamond" w:hAnsi="Garamond"/>
                <w:sz w:val="22"/>
                <w:szCs w:val="22"/>
              </w:rPr>
            </w:pPr>
            <w:r w:rsidRPr="00D11C96">
              <w:rPr>
                <w:rFonts w:ascii="Garamond" w:hAnsi="Garamond"/>
                <w:sz w:val="22"/>
                <w:szCs w:val="22"/>
              </w:rPr>
              <w:t>Bogotá</w:t>
            </w:r>
          </w:p>
        </w:tc>
        <w:tc>
          <w:tcPr>
            <w:tcW w:w="2338" w:type="dxa"/>
            <w:vAlign w:val="center"/>
          </w:tcPr>
          <w:p w:rsidRPr="00D11C96" w:rsidR="00573EDC" w:rsidP="002E1E34" w:rsidRDefault="00573EDC" w14:paraId="7B3CC449" w14:textId="77777777">
            <w:pPr>
              <w:jc w:val="center"/>
              <w:rPr>
                <w:rFonts w:ascii="Garamond" w:hAnsi="Garamond"/>
                <w:sz w:val="22"/>
                <w:szCs w:val="22"/>
              </w:rPr>
            </w:pPr>
            <w:r w:rsidRPr="00D11C96">
              <w:rPr>
                <w:rFonts w:ascii="Garamond" w:hAnsi="Garamond"/>
                <w:sz w:val="22"/>
                <w:szCs w:val="22"/>
              </w:rPr>
              <w:t>Cundinamarca</w:t>
            </w:r>
          </w:p>
        </w:tc>
        <w:tc>
          <w:tcPr>
            <w:tcW w:w="2338" w:type="dxa"/>
            <w:vAlign w:val="center"/>
          </w:tcPr>
          <w:p w:rsidRPr="00D11C96" w:rsidR="00573EDC" w:rsidP="002E1E34" w:rsidRDefault="00573EDC" w14:paraId="654310CA" w14:textId="77777777">
            <w:pPr>
              <w:jc w:val="center"/>
              <w:rPr>
                <w:rFonts w:ascii="Garamond" w:hAnsi="Garamond"/>
                <w:sz w:val="22"/>
                <w:szCs w:val="22"/>
              </w:rPr>
            </w:pPr>
            <w:r w:rsidRPr="00D11C96">
              <w:rPr>
                <w:rFonts w:ascii="Garamond" w:hAnsi="Garamond"/>
                <w:sz w:val="22"/>
                <w:szCs w:val="22"/>
              </w:rPr>
              <w:t>Total</w:t>
            </w:r>
          </w:p>
        </w:tc>
      </w:tr>
      <w:tr w:rsidRPr="00D11C96" w:rsidR="00573EDC" w:rsidTr="139B1CFE" w14:paraId="022B8823" w14:textId="77777777">
        <w:trPr>
          <w:jc w:val="center"/>
        </w:trPr>
        <w:tc>
          <w:tcPr>
            <w:tcW w:w="2337" w:type="dxa"/>
            <w:vAlign w:val="center"/>
          </w:tcPr>
          <w:p w:rsidRPr="00D11C96" w:rsidR="00573EDC" w:rsidP="002E1E34" w:rsidRDefault="00573EDC" w14:paraId="5788D015" w14:textId="77777777">
            <w:pPr>
              <w:jc w:val="center"/>
              <w:rPr>
                <w:rFonts w:ascii="Garamond" w:hAnsi="Garamond"/>
                <w:sz w:val="22"/>
                <w:szCs w:val="22"/>
              </w:rPr>
            </w:pPr>
            <w:r w:rsidRPr="00D11C96">
              <w:rPr>
                <w:rFonts w:ascii="Garamond" w:hAnsi="Garamond"/>
                <w:sz w:val="22"/>
                <w:szCs w:val="22"/>
              </w:rPr>
              <w:t>Finalizado</w:t>
            </w:r>
          </w:p>
        </w:tc>
        <w:tc>
          <w:tcPr>
            <w:tcW w:w="2337" w:type="dxa"/>
            <w:vAlign w:val="center"/>
          </w:tcPr>
          <w:p w:rsidRPr="00D11C96" w:rsidR="00573EDC" w:rsidP="002E1E34" w:rsidRDefault="00573EDC" w14:paraId="36A38F2B" w14:textId="77777777">
            <w:pPr>
              <w:jc w:val="center"/>
              <w:rPr>
                <w:rFonts w:ascii="Garamond" w:hAnsi="Garamond"/>
                <w:sz w:val="22"/>
                <w:szCs w:val="22"/>
              </w:rPr>
            </w:pPr>
            <w:r w:rsidRPr="00D11C96">
              <w:rPr>
                <w:rFonts w:ascii="Garamond" w:hAnsi="Garamond"/>
                <w:sz w:val="22"/>
                <w:szCs w:val="22"/>
              </w:rPr>
              <w:t>13</w:t>
            </w:r>
          </w:p>
        </w:tc>
        <w:tc>
          <w:tcPr>
            <w:tcW w:w="2338" w:type="dxa"/>
            <w:vAlign w:val="center"/>
          </w:tcPr>
          <w:p w:rsidRPr="00D11C96" w:rsidR="00573EDC" w:rsidP="002E1E34" w:rsidRDefault="00573EDC" w14:paraId="3BB840C9" w14:textId="77777777">
            <w:pPr>
              <w:jc w:val="center"/>
              <w:rPr>
                <w:rFonts w:ascii="Garamond" w:hAnsi="Garamond"/>
                <w:sz w:val="22"/>
                <w:szCs w:val="22"/>
              </w:rPr>
            </w:pPr>
            <w:r w:rsidRPr="00D11C96">
              <w:rPr>
                <w:rFonts w:ascii="Garamond" w:hAnsi="Garamond"/>
                <w:sz w:val="22"/>
                <w:szCs w:val="22"/>
              </w:rPr>
              <w:t>2</w:t>
            </w:r>
          </w:p>
        </w:tc>
        <w:tc>
          <w:tcPr>
            <w:tcW w:w="2338" w:type="dxa"/>
            <w:vAlign w:val="center"/>
          </w:tcPr>
          <w:p w:rsidRPr="00D11C96" w:rsidR="00573EDC" w:rsidP="002E1E34" w:rsidRDefault="00573EDC" w14:paraId="269A2288" w14:textId="77777777">
            <w:pPr>
              <w:jc w:val="center"/>
              <w:rPr>
                <w:rFonts w:ascii="Garamond" w:hAnsi="Garamond"/>
                <w:sz w:val="22"/>
                <w:szCs w:val="22"/>
              </w:rPr>
            </w:pPr>
            <w:r w:rsidRPr="00D11C96">
              <w:rPr>
                <w:rFonts w:ascii="Garamond" w:hAnsi="Garamond"/>
                <w:sz w:val="22"/>
                <w:szCs w:val="22"/>
              </w:rPr>
              <w:t>15</w:t>
            </w:r>
          </w:p>
        </w:tc>
      </w:tr>
      <w:tr w:rsidRPr="00D11C96" w:rsidR="00573EDC" w:rsidTr="139B1CFE" w14:paraId="11AAA423" w14:textId="77777777">
        <w:trPr>
          <w:jc w:val="center"/>
        </w:trPr>
        <w:tc>
          <w:tcPr>
            <w:tcW w:w="2337" w:type="dxa"/>
            <w:vAlign w:val="center"/>
          </w:tcPr>
          <w:p w:rsidRPr="00D11C96" w:rsidR="00573EDC" w:rsidP="002E1E34" w:rsidRDefault="00573EDC" w14:paraId="5B125A30" w14:textId="77777777">
            <w:pPr>
              <w:jc w:val="center"/>
              <w:rPr>
                <w:rFonts w:ascii="Garamond" w:hAnsi="Garamond"/>
                <w:sz w:val="22"/>
                <w:szCs w:val="22"/>
              </w:rPr>
            </w:pPr>
            <w:r w:rsidRPr="00D11C96">
              <w:rPr>
                <w:rFonts w:ascii="Garamond" w:hAnsi="Garamond"/>
                <w:sz w:val="22"/>
                <w:szCs w:val="22"/>
              </w:rPr>
              <w:t>Con decreto</w:t>
            </w:r>
          </w:p>
        </w:tc>
        <w:tc>
          <w:tcPr>
            <w:tcW w:w="2337" w:type="dxa"/>
            <w:vAlign w:val="center"/>
          </w:tcPr>
          <w:p w:rsidRPr="00D11C96" w:rsidR="00573EDC" w:rsidP="002E1E34" w:rsidRDefault="00573EDC" w14:paraId="6A1ADB79" w14:textId="77777777">
            <w:pPr>
              <w:jc w:val="center"/>
              <w:rPr>
                <w:rFonts w:ascii="Garamond" w:hAnsi="Garamond"/>
                <w:sz w:val="22"/>
                <w:szCs w:val="22"/>
              </w:rPr>
            </w:pPr>
            <w:r w:rsidRPr="00D11C96">
              <w:rPr>
                <w:rFonts w:ascii="Garamond" w:hAnsi="Garamond"/>
                <w:sz w:val="22"/>
                <w:szCs w:val="22"/>
              </w:rPr>
              <w:t>22</w:t>
            </w:r>
          </w:p>
        </w:tc>
        <w:tc>
          <w:tcPr>
            <w:tcW w:w="2338" w:type="dxa"/>
            <w:vAlign w:val="center"/>
          </w:tcPr>
          <w:p w:rsidRPr="00D11C96" w:rsidR="00573EDC" w:rsidP="002E1E34" w:rsidRDefault="00573EDC" w14:paraId="2362A15A" w14:textId="77777777">
            <w:pPr>
              <w:jc w:val="center"/>
              <w:rPr>
                <w:rFonts w:ascii="Garamond" w:hAnsi="Garamond"/>
                <w:sz w:val="22"/>
                <w:szCs w:val="22"/>
              </w:rPr>
            </w:pPr>
            <w:r w:rsidRPr="00D11C96">
              <w:rPr>
                <w:rFonts w:ascii="Garamond" w:hAnsi="Garamond"/>
                <w:sz w:val="22"/>
                <w:szCs w:val="22"/>
              </w:rPr>
              <w:t>13</w:t>
            </w:r>
          </w:p>
        </w:tc>
        <w:tc>
          <w:tcPr>
            <w:tcW w:w="2338" w:type="dxa"/>
            <w:vAlign w:val="center"/>
          </w:tcPr>
          <w:p w:rsidRPr="00D11C96" w:rsidR="00573EDC" w:rsidP="002E1E34" w:rsidRDefault="00573EDC" w14:paraId="19D4BEDB" w14:textId="77777777">
            <w:pPr>
              <w:jc w:val="center"/>
              <w:rPr>
                <w:rFonts w:ascii="Garamond" w:hAnsi="Garamond"/>
                <w:sz w:val="22"/>
                <w:szCs w:val="22"/>
              </w:rPr>
            </w:pPr>
            <w:r w:rsidRPr="00D11C96">
              <w:rPr>
                <w:rFonts w:ascii="Garamond" w:hAnsi="Garamond"/>
                <w:sz w:val="22"/>
                <w:szCs w:val="22"/>
              </w:rPr>
              <w:t>35</w:t>
            </w:r>
          </w:p>
        </w:tc>
      </w:tr>
      <w:tr w:rsidRPr="00D11C96" w:rsidR="00573EDC" w:rsidTr="139B1CFE" w14:paraId="7D48D5FE" w14:textId="77777777">
        <w:trPr>
          <w:trHeight w:val="300"/>
          <w:jc w:val="center"/>
        </w:trPr>
        <w:tc>
          <w:tcPr>
            <w:tcW w:w="2337" w:type="dxa"/>
            <w:vAlign w:val="center"/>
          </w:tcPr>
          <w:p w:rsidRPr="00D11C96" w:rsidR="00573EDC" w:rsidP="002E1E34" w:rsidRDefault="00573EDC" w14:paraId="5A679E9E" w14:textId="77777777">
            <w:pPr>
              <w:jc w:val="center"/>
              <w:rPr>
                <w:rFonts w:ascii="Garamond" w:hAnsi="Garamond"/>
                <w:sz w:val="22"/>
                <w:szCs w:val="22"/>
              </w:rPr>
            </w:pPr>
            <w:r w:rsidRPr="00D11C96">
              <w:rPr>
                <w:rFonts w:ascii="Garamond" w:hAnsi="Garamond"/>
                <w:sz w:val="22"/>
                <w:szCs w:val="22"/>
              </w:rPr>
              <w:t>En formulación</w:t>
            </w:r>
          </w:p>
        </w:tc>
        <w:tc>
          <w:tcPr>
            <w:tcW w:w="2337" w:type="dxa"/>
            <w:vAlign w:val="center"/>
          </w:tcPr>
          <w:p w:rsidRPr="00D11C96" w:rsidR="00573EDC" w:rsidP="002E1E34" w:rsidRDefault="00573EDC" w14:paraId="543CED50" w14:textId="77777777">
            <w:pPr>
              <w:jc w:val="center"/>
              <w:rPr>
                <w:rFonts w:ascii="Garamond" w:hAnsi="Garamond"/>
                <w:sz w:val="22"/>
                <w:szCs w:val="22"/>
              </w:rPr>
            </w:pPr>
            <w:r w:rsidRPr="00D11C96">
              <w:rPr>
                <w:rFonts w:ascii="Garamond" w:hAnsi="Garamond"/>
                <w:sz w:val="22"/>
                <w:szCs w:val="22"/>
              </w:rPr>
              <w:t>6</w:t>
            </w:r>
          </w:p>
        </w:tc>
        <w:tc>
          <w:tcPr>
            <w:tcW w:w="2338" w:type="dxa"/>
            <w:vAlign w:val="center"/>
          </w:tcPr>
          <w:p w:rsidRPr="00D11C96" w:rsidR="00573EDC" w:rsidP="002E1E34" w:rsidRDefault="00573EDC" w14:paraId="4068EEB4" w14:textId="77777777">
            <w:pPr>
              <w:jc w:val="center"/>
              <w:rPr>
                <w:rFonts w:ascii="Garamond" w:hAnsi="Garamond"/>
                <w:sz w:val="22"/>
                <w:szCs w:val="22"/>
              </w:rPr>
            </w:pPr>
            <w:r w:rsidRPr="00D11C96">
              <w:rPr>
                <w:rFonts w:ascii="Garamond" w:hAnsi="Garamond"/>
                <w:sz w:val="22"/>
                <w:szCs w:val="22"/>
              </w:rPr>
              <w:t>1</w:t>
            </w:r>
          </w:p>
        </w:tc>
        <w:tc>
          <w:tcPr>
            <w:tcW w:w="2338" w:type="dxa"/>
            <w:vAlign w:val="center"/>
          </w:tcPr>
          <w:p w:rsidRPr="00D11C96" w:rsidR="00573EDC" w:rsidP="002E1E34" w:rsidRDefault="00573EDC" w14:paraId="149A44A9" w14:textId="77777777">
            <w:pPr>
              <w:jc w:val="center"/>
              <w:rPr>
                <w:rFonts w:ascii="Garamond" w:hAnsi="Garamond"/>
                <w:sz w:val="22"/>
                <w:szCs w:val="22"/>
              </w:rPr>
            </w:pPr>
            <w:r w:rsidRPr="00D11C96">
              <w:rPr>
                <w:rFonts w:ascii="Garamond" w:hAnsi="Garamond"/>
                <w:sz w:val="22"/>
                <w:szCs w:val="22"/>
              </w:rPr>
              <w:t>7</w:t>
            </w:r>
          </w:p>
        </w:tc>
      </w:tr>
      <w:tr w:rsidRPr="00D11C96" w:rsidR="00573EDC" w:rsidTr="139B1CFE" w14:paraId="345FBF7A" w14:textId="77777777">
        <w:trPr>
          <w:jc w:val="center"/>
        </w:trPr>
        <w:tc>
          <w:tcPr>
            <w:tcW w:w="2337" w:type="dxa"/>
            <w:vAlign w:val="center"/>
          </w:tcPr>
          <w:p w:rsidRPr="00D11C96" w:rsidR="00573EDC" w:rsidP="002E1E34" w:rsidRDefault="00573EDC" w14:paraId="6E465FDD" w14:textId="77777777">
            <w:pPr>
              <w:jc w:val="center"/>
              <w:rPr>
                <w:rFonts w:ascii="Garamond" w:hAnsi="Garamond"/>
                <w:sz w:val="22"/>
                <w:szCs w:val="22"/>
              </w:rPr>
            </w:pPr>
            <w:r w:rsidRPr="00D11C96">
              <w:rPr>
                <w:rFonts w:ascii="Garamond" w:hAnsi="Garamond"/>
                <w:sz w:val="22"/>
                <w:szCs w:val="22"/>
              </w:rPr>
              <w:t>Total</w:t>
            </w:r>
          </w:p>
        </w:tc>
        <w:tc>
          <w:tcPr>
            <w:tcW w:w="2337" w:type="dxa"/>
            <w:vAlign w:val="center"/>
          </w:tcPr>
          <w:p w:rsidRPr="00D11C96" w:rsidR="00573EDC" w:rsidP="002E1E34" w:rsidRDefault="00573EDC" w14:paraId="1CD8A563" w14:textId="77777777">
            <w:pPr>
              <w:jc w:val="center"/>
              <w:rPr>
                <w:rFonts w:ascii="Garamond" w:hAnsi="Garamond"/>
                <w:sz w:val="22"/>
                <w:szCs w:val="22"/>
              </w:rPr>
            </w:pPr>
            <w:r w:rsidRPr="00D11C96">
              <w:rPr>
                <w:rFonts w:ascii="Garamond" w:hAnsi="Garamond"/>
                <w:sz w:val="22"/>
                <w:szCs w:val="22"/>
              </w:rPr>
              <w:t>41</w:t>
            </w:r>
          </w:p>
        </w:tc>
        <w:tc>
          <w:tcPr>
            <w:tcW w:w="2338" w:type="dxa"/>
            <w:vAlign w:val="center"/>
          </w:tcPr>
          <w:p w:rsidRPr="00D11C96" w:rsidR="00573EDC" w:rsidP="002E1E34" w:rsidRDefault="00573EDC" w14:paraId="3E4D836F" w14:textId="77777777">
            <w:pPr>
              <w:jc w:val="center"/>
              <w:rPr>
                <w:rFonts w:ascii="Garamond" w:hAnsi="Garamond"/>
                <w:sz w:val="22"/>
                <w:szCs w:val="22"/>
              </w:rPr>
            </w:pPr>
            <w:r w:rsidRPr="00D11C96">
              <w:rPr>
                <w:rFonts w:ascii="Garamond" w:hAnsi="Garamond"/>
                <w:sz w:val="22"/>
                <w:szCs w:val="22"/>
              </w:rPr>
              <w:t>16</w:t>
            </w:r>
          </w:p>
        </w:tc>
        <w:tc>
          <w:tcPr>
            <w:tcW w:w="2338" w:type="dxa"/>
            <w:vAlign w:val="center"/>
          </w:tcPr>
          <w:p w:rsidRPr="00D11C96" w:rsidR="00573EDC" w:rsidP="002E1E34" w:rsidRDefault="00573EDC" w14:paraId="3EB80334" w14:textId="77777777">
            <w:pPr>
              <w:jc w:val="center"/>
              <w:rPr>
                <w:rFonts w:ascii="Garamond" w:hAnsi="Garamond"/>
                <w:sz w:val="22"/>
                <w:szCs w:val="22"/>
              </w:rPr>
            </w:pPr>
            <w:r w:rsidRPr="00D11C96">
              <w:rPr>
                <w:rFonts w:ascii="Garamond" w:hAnsi="Garamond"/>
                <w:sz w:val="22"/>
                <w:szCs w:val="22"/>
              </w:rPr>
              <w:t>57</w:t>
            </w:r>
          </w:p>
        </w:tc>
      </w:tr>
    </w:tbl>
    <w:p w:rsidR="00CF373C" w:rsidP="00EB46AA" w:rsidRDefault="00EB46AA" w14:paraId="38CB1E8A" w14:textId="45743DC2">
      <w:pPr>
        <w:jc w:val="center"/>
        <w:rPr>
          <w:rFonts w:ascii="Garamond" w:hAnsi="Garamond"/>
          <w:sz w:val="22"/>
          <w:szCs w:val="22"/>
        </w:rPr>
      </w:pPr>
      <w:r w:rsidRPr="00D11C96">
        <w:rPr>
          <w:rFonts w:ascii="Garamond" w:hAnsi="Garamond"/>
          <w:sz w:val="22"/>
          <w:szCs w:val="22"/>
        </w:rPr>
        <w:t xml:space="preserve">Fuente: </w:t>
      </w:r>
      <w:r>
        <w:rPr>
          <w:rFonts w:ascii="Garamond" w:hAnsi="Garamond"/>
          <w:sz w:val="22"/>
          <w:szCs w:val="22"/>
        </w:rPr>
        <w:t>CAMACOL</w:t>
      </w:r>
      <w:r w:rsidRPr="00D11C96">
        <w:rPr>
          <w:rFonts w:ascii="Garamond" w:hAnsi="Garamond"/>
          <w:sz w:val="22"/>
          <w:szCs w:val="22"/>
        </w:rPr>
        <w:t xml:space="preserve"> (2025)</w:t>
      </w:r>
    </w:p>
    <w:p w:rsidRPr="00D11C96" w:rsidR="00573EDC" w:rsidP="00573EDC" w:rsidRDefault="00573EDC" w14:paraId="4ABEA864" w14:textId="7002DC52">
      <w:pPr>
        <w:jc w:val="both"/>
        <w:rPr>
          <w:rFonts w:ascii="Garamond" w:hAnsi="Garamond"/>
          <w:sz w:val="22"/>
          <w:szCs w:val="22"/>
        </w:rPr>
      </w:pPr>
      <w:r w:rsidRPr="00D11C96">
        <w:rPr>
          <w:rFonts w:ascii="Garamond" w:hAnsi="Garamond"/>
          <w:sz w:val="22"/>
          <w:szCs w:val="22"/>
        </w:rPr>
        <w:t xml:space="preserve">Como se observa, desde una perspectiva histórica, el crecimiento constructivo se ha desarrollado indistintamente sobre los suelos sin importar su clasificación o restricciones de uso, intensidad, densidad, suficiencia de infraestructura de espacio público, de infraestructura vial y redes de energía, acueducto y alcantarillado, afectando la disponibilidad de agua para las demás actividades económicas. </w:t>
      </w:r>
    </w:p>
    <w:p w:rsidRPr="00D11C96" w:rsidR="00573EDC" w:rsidP="00573EDC" w:rsidRDefault="00573EDC" w14:paraId="0F4EDFD2" w14:textId="77777777">
      <w:pPr>
        <w:jc w:val="both"/>
        <w:rPr>
          <w:rFonts w:ascii="Garamond" w:hAnsi="Garamond"/>
          <w:sz w:val="22"/>
          <w:szCs w:val="22"/>
        </w:rPr>
      </w:pPr>
      <w:r w:rsidRPr="00D11C96">
        <w:rPr>
          <w:rFonts w:ascii="Garamond" w:hAnsi="Garamond"/>
          <w:sz w:val="22"/>
          <w:szCs w:val="22"/>
        </w:rPr>
        <w:t>Por lo que es indispensable establecer elementos normativos adicionales que promuevan la inversión en sectores como infraestructura, comercio y vivienda en un territorio con suelo disponible para su urbanización de forma ordenada, mejor adaptado al cambio del clima y ordenado en torno al agua, de tal manera en que se reduzca el agotamiento de agua, se priorice su concesión y aprovechamiento, y fomente estrategias de reúso, reducción de perdidas, manejo, ahorro y optimización de este recurso, a la par en que abren nuevas oportunidades de empleo entorno al desarrollo de vivienda sostenible.</w:t>
      </w:r>
    </w:p>
    <w:p w:rsidRPr="00D11C96" w:rsidR="00A45750" w:rsidP="00A45750" w:rsidRDefault="0096108F" w14:paraId="736AF98A" w14:textId="66015A2C">
      <w:pPr>
        <w:jc w:val="both"/>
        <w:rPr>
          <w:rFonts w:ascii="Garamond" w:hAnsi="Garamond"/>
          <w:sz w:val="22"/>
          <w:szCs w:val="22"/>
        </w:rPr>
      </w:pPr>
      <w:r w:rsidRPr="00D11C96">
        <w:rPr>
          <w:rFonts w:ascii="Garamond" w:hAnsi="Garamond"/>
          <w:sz w:val="22"/>
          <w:szCs w:val="22"/>
        </w:rPr>
        <w:t>En ese sentido, las directrices ambientales no impactan en cuanto a limitar o reducir el suelo disponible del suelo, ni tampoco lo hace en cuanto a los planes parciales que ya se encuentran en una situación jurídica consolidada o es una preexistencia (Finalizado o Con decreto).</w:t>
      </w:r>
    </w:p>
    <w:p w:rsidRPr="00D11C96" w:rsidR="00A45750" w:rsidP="00A45750" w:rsidRDefault="00F97F58" w14:paraId="69F41253" w14:textId="4DECBC2F">
      <w:pPr>
        <w:jc w:val="both"/>
        <w:rPr>
          <w:rFonts w:ascii="Garamond" w:hAnsi="Garamond"/>
          <w:b/>
          <w:bCs/>
          <w:sz w:val="22"/>
          <w:szCs w:val="22"/>
        </w:rPr>
      </w:pPr>
      <w:r w:rsidRPr="00D11C96">
        <w:rPr>
          <w:rFonts w:ascii="Garamond" w:hAnsi="Garamond"/>
          <w:b/>
          <w:bCs/>
          <w:sz w:val="22"/>
          <w:szCs w:val="22"/>
        </w:rPr>
        <w:t>S</w:t>
      </w:r>
      <w:r w:rsidRPr="00D11C96" w:rsidR="00A45750">
        <w:rPr>
          <w:rFonts w:ascii="Garamond" w:hAnsi="Garamond"/>
          <w:b/>
          <w:bCs/>
          <w:sz w:val="22"/>
          <w:szCs w:val="22"/>
        </w:rPr>
        <w:t xml:space="preserve">ellamiento del suelo en la Sabana </w:t>
      </w:r>
    </w:p>
    <w:p w:rsidRPr="00D11C96" w:rsidR="00A45750" w:rsidP="00A45750" w:rsidRDefault="00A45750" w14:paraId="536FE945" w14:textId="77777777">
      <w:pPr>
        <w:jc w:val="both"/>
        <w:rPr>
          <w:rFonts w:ascii="Garamond" w:hAnsi="Garamond"/>
          <w:sz w:val="22"/>
          <w:szCs w:val="22"/>
        </w:rPr>
      </w:pPr>
      <w:r w:rsidRPr="00D11C96">
        <w:rPr>
          <w:rFonts w:ascii="Garamond" w:hAnsi="Garamond"/>
          <w:sz w:val="22"/>
          <w:szCs w:val="22"/>
        </w:rPr>
        <w:t xml:space="preserve"> Los suelos contribuyen a servicios ecosistémicos vitales para la supervivencia humana, entre los cuales se destacan la provisión de alimentos, forrajes, fibras, madera y medicinas; de protección ambiental y de la humanidad, mediante filtrado, amortiguación, intercambio de gases, control de la contaminación, regulación climática y de inundaciones; servicios de soporte, que mantienen todos los demás servicios, incluyendo fotosíntesis, reserva de genes y base de la biodiversidad, ciclo y calidad del agua, y ciclo de nutrientes; soporte para industria, infraestructura y turismo; valor cultural y conservación del patrimonio histórico (Blum, 2005; </w:t>
      </w:r>
      <w:proofErr w:type="spellStart"/>
      <w:r w:rsidRPr="00D11C96">
        <w:rPr>
          <w:rFonts w:ascii="Garamond" w:hAnsi="Garamond"/>
          <w:sz w:val="22"/>
          <w:szCs w:val="22"/>
        </w:rPr>
        <w:t>Bone</w:t>
      </w:r>
      <w:proofErr w:type="spellEnd"/>
      <w:r w:rsidRPr="00D11C96">
        <w:rPr>
          <w:rFonts w:ascii="Garamond" w:hAnsi="Garamond"/>
          <w:sz w:val="22"/>
          <w:szCs w:val="22"/>
        </w:rPr>
        <w:t xml:space="preserve"> et al., 2010; Millennium </w:t>
      </w:r>
      <w:proofErr w:type="spellStart"/>
      <w:r w:rsidRPr="00D11C96">
        <w:rPr>
          <w:rFonts w:ascii="Garamond" w:hAnsi="Garamond"/>
          <w:sz w:val="22"/>
          <w:szCs w:val="22"/>
        </w:rPr>
        <w:t>Ecosystem</w:t>
      </w:r>
      <w:proofErr w:type="spellEnd"/>
      <w:r w:rsidRPr="00D11C96">
        <w:rPr>
          <w:rFonts w:ascii="Garamond" w:hAnsi="Garamond"/>
          <w:sz w:val="22"/>
          <w:szCs w:val="22"/>
        </w:rPr>
        <w:t xml:space="preserve"> </w:t>
      </w:r>
      <w:proofErr w:type="spellStart"/>
      <w:r w:rsidRPr="00D11C96">
        <w:rPr>
          <w:rFonts w:ascii="Garamond" w:hAnsi="Garamond"/>
          <w:sz w:val="22"/>
          <w:szCs w:val="22"/>
        </w:rPr>
        <w:t>Assessment</w:t>
      </w:r>
      <w:proofErr w:type="spellEnd"/>
      <w:r w:rsidRPr="00D11C96">
        <w:rPr>
          <w:rFonts w:ascii="Garamond" w:hAnsi="Garamond"/>
          <w:sz w:val="22"/>
          <w:szCs w:val="22"/>
        </w:rPr>
        <w:t>, 2005) citados en la PGSS (2016).</w:t>
      </w:r>
    </w:p>
    <w:p w:rsidRPr="00D11C96" w:rsidR="00F97F58" w:rsidP="00D46BF5" w:rsidRDefault="00A45750" w14:paraId="4E20D393" w14:textId="77777777">
      <w:pPr>
        <w:jc w:val="both"/>
        <w:rPr>
          <w:rFonts w:ascii="Garamond" w:hAnsi="Garamond"/>
          <w:sz w:val="22"/>
          <w:szCs w:val="22"/>
        </w:rPr>
      </w:pPr>
      <w:r w:rsidRPr="00D11C96">
        <w:rPr>
          <w:rFonts w:ascii="Garamond" w:hAnsi="Garamond"/>
          <w:sz w:val="22"/>
          <w:szCs w:val="22"/>
        </w:rPr>
        <w:t xml:space="preserve"> Es así, que los suelos presentan una oferta de bienes y servicios y una función ecosistémica, como soporte, como fuente de nutrientes para la biota, como regulador en el ciclo del agua y en el ciclo biogeoquímico, como productor de fibras y alimentos y como filtro o depurador de contaminantes, entre muchas otras funciones. Sin embargo, todas estas ofertas y servicios no son ilimitados, dado que el suelo es frágil y no renovable en la escala del tiempo humano y es susceptible de alterarse o perderse de manera natural dentro de sus procesos de génesis y evolución, o por las actividades antrópicas que consolidan procesos regresivos y de degradación de suelos y tierras (</w:t>
      </w:r>
      <w:proofErr w:type="spellStart"/>
      <w:r w:rsidRPr="00D11C96">
        <w:rPr>
          <w:rFonts w:ascii="Garamond" w:hAnsi="Garamond"/>
          <w:sz w:val="22"/>
          <w:szCs w:val="22"/>
        </w:rPr>
        <w:t>Ideam</w:t>
      </w:r>
      <w:proofErr w:type="spellEnd"/>
      <w:r w:rsidRPr="00D11C96">
        <w:rPr>
          <w:rFonts w:ascii="Garamond" w:hAnsi="Garamond"/>
          <w:sz w:val="22"/>
          <w:szCs w:val="22"/>
        </w:rPr>
        <w:t xml:space="preserve"> 2012). </w:t>
      </w:r>
    </w:p>
    <w:p w:rsidRPr="00D11C96" w:rsidR="00D46BF5" w:rsidP="00D46BF5" w:rsidRDefault="00A45750" w14:paraId="3887F4FB" w14:textId="2A710D88">
      <w:pPr>
        <w:jc w:val="both"/>
        <w:rPr>
          <w:rFonts w:ascii="Garamond" w:hAnsi="Garamond"/>
          <w:sz w:val="22"/>
          <w:szCs w:val="22"/>
        </w:rPr>
      </w:pPr>
      <w:r w:rsidRPr="00D11C96">
        <w:rPr>
          <w:rFonts w:ascii="Garamond" w:hAnsi="Garamond"/>
          <w:sz w:val="22"/>
          <w:szCs w:val="22"/>
        </w:rPr>
        <w:t xml:space="preserve">De acuerdo con comunicación del IGAC (2024) “cuando se sella el suelo se rompe el ciclo hidrológico y el suelo no puede conducir agua para recargar los acuíferos; esto ocasiona bajo nivel de los mismos y la consecuente disminución del caudal en los nacimientos de quebradas, caños o ríos, que son los que han de </w:t>
      </w:r>
      <w:r w:rsidRPr="00D11C96">
        <w:rPr>
          <w:rFonts w:ascii="Garamond" w:hAnsi="Garamond"/>
          <w:sz w:val="22"/>
          <w:szCs w:val="22"/>
        </w:rPr>
        <w:t xml:space="preserve">llenar los embalses para el suministro del agua potable (...)”. </w:t>
      </w:r>
      <w:r w:rsidRPr="00D11C96" w:rsidR="00D46BF5">
        <w:rPr>
          <w:rFonts w:ascii="Garamond" w:hAnsi="Garamond"/>
          <w:sz w:val="22"/>
          <w:szCs w:val="22"/>
        </w:rPr>
        <w:t xml:space="preserve">Gaviria (2024), establece que “la ocupación del territorio de la Sabana de Bogotá con actividades productivas que desconocen la riqueza de los suelos que van siendo sepultados, excavados o desecados, en la planicie y a lo largo del valle aluvial del río Bogotá y sus afluentes trae como efecto colateral la necesidad de buscar nuevas fuentes de agua y alimentos fuera de la región”. </w:t>
      </w:r>
    </w:p>
    <w:p w:rsidRPr="00D11C96" w:rsidR="00A45750" w:rsidP="00A45750" w:rsidRDefault="00A45750" w14:paraId="5EC3FE40" w14:textId="61FCD658">
      <w:pPr>
        <w:jc w:val="both"/>
        <w:rPr>
          <w:rFonts w:ascii="Garamond" w:hAnsi="Garamond"/>
          <w:sz w:val="22"/>
          <w:szCs w:val="22"/>
        </w:rPr>
      </w:pPr>
      <w:r w:rsidRPr="00D11C96">
        <w:rPr>
          <w:rFonts w:ascii="Garamond" w:hAnsi="Garamond"/>
          <w:sz w:val="22"/>
          <w:szCs w:val="22"/>
        </w:rPr>
        <w:t xml:space="preserve">Según el Compendio de Estadísticas Ambientales (2008) de SEMARNAT, una de las causas principales de degradación de suelos es la urbanización: se considera a todas las actividades efectuadas por la industria de la construcción, provocando la pérdida de la función productiva del suelo. Uno de los mayores riesgos para acceder al derecho humano a la alimentación, se vincula a la pérdida de suelos productivos, dados que la provisión de </w:t>
      </w:r>
      <w:r w:rsidRPr="00D11C96" w:rsidR="00247049">
        <w:rPr>
          <w:rFonts w:ascii="Garamond" w:hAnsi="Garamond"/>
          <w:sz w:val="22"/>
          <w:szCs w:val="22"/>
        </w:rPr>
        <w:t>alimentos</w:t>
      </w:r>
      <w:r w:rsidRPr="00D11C96">
        <w:rPr>
          <w:rFonts w:ascii="Garamond" w:hAnsi="Garamond"/>
          <w:sz w:val="22"/>
          <w:szCs w:val="22"/>
        </w:rPr>
        <w:t xml:space="preserve"> tiende a perderse a medida que avanzan los procesos de urbanización, y según </w:t>
      </w:r>
      <w:proofErr w:type="spellStart"/>
      <w:r w:rsidRPr="00D11C96">
        <w:rPr>
          <w:rFonts w:ascii="Garamond" w:hAnsi="Garamond"/>
          <w:sz w:val="22"/>
          <w:szCs w:val="22"/>
        </w:rPr>
        <w:t>Cram</w:t>
      </w:r>
      <w:proofErr w:type="spellEnd"/>
      <w:r w:rsidRPr="00D11C96">
        <w:rPr>
          <w:rFonts w:ascii="Garamond" w:hAnsi="Garamond"/>
          <w:sz w:val="22"/>
          <w:szCs w:val="22"/>
        </w:rPr>
        <w:t xml:space="preserve"> et. al (2008), para que el suelo pueda preservar sus funciones, es necesario garantizar su contacto con el agua, la vegetación y el aire del entorno, conservando las propiedades que regulan su calidad: “es el soporte y suministro de nutrientes a las plantas, de ahí que la degradación del suelo esté considerada como el mayor problema ambiental que amenaza la producción mundial de alimentos” (</w:t>
      </w:r>
      <w:proofErr w:type="spellStart"/>
      <w:r w:rsidRPr="00D11C96">
        <w:rPr>
          <w:rFonts w:ascii="Garamond" w:hAnsi="Garamond"/>
          <w:sz w:val="22"/>
          <w:szCs w:val="22"/>
        </w:rPr>
        <w:t>Cram</w:t>
      </w:r>
      <w:proofErr w:type="spellEnd"/>
      <w:r w:rsidRPr="00D11C96">
        <w:rPr>
          <w:rFonts w:ascii="Garamond" w:hAnsi="Garamond"/>
          <w:sz w:val="22"/>
          <w:szCs w:val="22"/>
        </w:rPr>
        <w:t xml:space="preserve"> et al, 2008:82) Otro aspecto de relevancia ambiental, tras el sellamiento del suelo, es la deforestación y eliminación de los bosques y las coberturas vegetales, que reduce la capacidad de los ecosistemas para capturar y almacenar carbono, incrementando los niveles de dióxido de carbono (CO2) en la atmósfera, uno de los principales gases de efecto invernadero responsables del cambio climático. </w:t>
      </w:r>
    </w:p>
    <w:p w:rsidRPr="00D11C96" w:rsidR="00403B10" w:rsidP="00403B10" w:rsidRDefault="00403B10" w14:paraId="31309A59" w14:textId="77777777">
      <w:pPr>
        <w:jc w:val="both"/>
        <w:rPr>
          <w:rFonts w:ascii="Garamond" w:hAnsi="Garamond"/>
          <w:sz w:val="22"/>
          <w:szCs w:val="22"/>
        </w:rPr>
      </w:pPr>
      <w:r w:rsidRPr="00D11C96">
        <w:rPr>
          <w:rFonts w:ascii="Garamond" w:hAnsi="Garamond"/>
          <w:sz w:val="22"/>
          <w:szCs w:val="22"/>
        </w:rPr>
        <w:t>Por su parte, IGAC (2024), menciona que el sellado del suelo es una de las prácticas más dañinas para el medio ambiente y concluye que este factor de degradación elimina la biodiversidad, la producción de oxígeno, alimentos, fibras, drogas, biocombustibles, materias primas industriales y otros; impide la captura de la lluvia por el suelo, su infiltración y la recarga de acuíferos. En su conjunto conlleva a una disminución de los caudales de quebradas y ríos, de la tasa de llenado de embalses y presas y en última instancia limita el suministro de agua potable y la generación de energía eléctrica. En épocas de lluvias, cuando más se requiere que el agua se infiltre para disminuir la escorrentía y erosión, el sellado incrementa las aguas superficiales que, en muchos casos causa desbordamientos, inundaciones y desastres ambientales. Los suelos sellados pierden su capacidad de ser sumideros y de secuestrar carbono atmosférico, en detrimento de las acciones para la mitigación y adaptación al cambio climático.</w:t>
      </w:r>
    </w:p>
    <w:p w:rsidRPr="00D11C96" w:rsidR="001B40F4" w:rsidP="001B40F4" w:rsidRDefault="00C00AB3" w14:paraId="36CCBF27" w14:textId="3C43DC78">
      <w:pPr>
        <w:jc w:val="both"/>
        <w:rPr>
          <w:rFonts w:ascii="Garamond" w:hAnsi="Garamond"/>
          <w:sz w:val="22"/>
          <w:szCs w:val="22"/>
        </w:rPr>
      </w:pPr>
      <w:r w:rsidRPr="00D11C96">
        <w:rPr>
          <w:rFonts w:ascii="Garamond" w:hAnsi="Garamond"/>
          <w:sz w:val="22"/>
          <w:szCs w:val="22"/>
        </w:rPr>
        <w:t>Según</w:t>
      </w:r>
      <w:r w:rsidRPr="00D11C96" w:rsidR="001B40F4">
        <w:rPr>
          <w:rFonts w:ascii="Garamond" w:hAnsi="Garamond"/>
          <w:sz w:val="22"/>
          <w:szCs w:val="22"/>
        </w:rPr>
        <w:t xml:space="preserve"> información</w:t>
      </w:r>
      <w:r w:rsidRPr="00D11C96">
        <w:rPr>
          <w:rFonts w:ascii="Garamond" w:hAnsi="Garamond"/>
          <w:sz w:val="22"/>
          <w:szCs w:val="22"/>
        </w:rPr>
        <w:t xml:space="preserve"> de coberturas (Corine </w:t>
      </w:r>
      <w:proofErr w:type="spellStart"/>
      <w:r w:rsidRPr="00D11C96">
        <w:rPr>
          <w:rFonts w:ascii="Garamond" w:hAnsi="Garamond"/>
          <w:sz w:val="22"/>
          <w:szCs w:val="22"/>
        </w:rPr>
        <w:t>Land</w:t>
      </w:r>
      <w:proofErr w:type="spellEnd"/>
      <w:r w:rsidRPr="00D11C96">
        <w:rPr>
          <w:rFonts w:ascii="Garamond" w:hAnsi="Garamond"/>
          <w:sz w:val="22"/>
          <w:szCs w:val="22"/>
        </w:rPr>
        <w:t xml:space="preserve"> </w:t>
      </w:r>
      <w:proofErr w:type="spellStart"/>
      <w:r w:rsidRPr="00D11C96">
        <w:rPr>
          <w:rFonts w:ascii="Garamond" w:hAnsi="Garamond"/>
          <w:sz w:val="22"/>
          <w:szCs w:val="22"/>
        </w:rPr>
        <w:t>Cover</w:t>
      </w:r>
      <w:proofErr w:type="spellEnd"/>
      <w:r w:rsidRPr="00D11C96">
        <w:rPr>
          <w:rFonts w:ascii="Garamond" w:hAnsi="Garamond"/>
          <w:sz w:val="22"/>
          <w:szCs w:val="22"/>
        </w:rPr>
        <w:t>)</w:t>
      </w:r>
      <w:r w:rsidRPr="00D11C96" w:rsidR="001B40F4">
        <w:rPr>
          <w:rFonts w:ascii="Garamond" w:hAnsi="Garamond"/>
          <w:sz w:val="22"/>
          <w:szCs w:val="22"/>
        </w:rPr>
        <w:t xml:space="preserve"> del IGAC en el periodo comprendido entre el año 2002 y el año 2018, aumentaron en 18.389 ha + 8.319 m2</w:t>
      </w:r>
      <w:r w:rsidRPr="00D11C96" w:rsidR="004075C3">
        <w:rPr>
          <w:rFonts w:ascii="Garamond" w:hAnsi="Garamond"/>
          <w:sz w:val="22"/>
          <w:szCs w:val="22"/>
        </w:rPr>
        <w:t xml:space="preserve"> </w:t>
      </w:r>
      <w:r w:rsidRPr="00D11C96" w:rsidR="001B40F4">
        <w:rPr>
          <w:rFonts w:ascii="Garamond" w:hAnsi="Garamond"/>
          <w:sz w:val="22"/>
          <w:szCs w:val="22"/>
        </w:rPr>
        <w:t xml:space="preserve">de territorios artificializados, especialmente las relacionadas con zonas urbanizadas y zonas industriales, comerciales y redes de comunicación, lo que implica un </w:t>
      </w:r>
      <w:r w:rsidRPr="00D11C96" w:rsidR="00247049">
        <w:rPr>
          <w:rFonts w:ascii="Garamond" w:hAnsi="Garamond"/>
          <w:sz w:val="22"/>
          <w:szCs w:val="22"/>
        </w:rPr>
        <w:t>incremento porcentual</w:t>
      </w:r>
      <w:r w:rsidRPr="00D11C96" w:rsidR="001B40F4">
        <w:rPr>
          <w:rFonts w:ascii="Garamond" w:hAnsi="Garamond"/>
          <w:sz w:val="22"/>
          <w:szCs w:val="22"/>
        </w:rPr>
        <w:t xml:space="preserve"> del 48% entre el periodo en mención.</w:t>
      </w:r>
    </w:p>
    <w:p w:rsidRPr="00D11C96" w:rsidR="001B40F4" w:rsidP="001B40F4" w:rsidRDefault="001B40F4" w14:paraId="67CE130F" w14:textId="7CB3F59E">
      <w:pPr>
        <w:pStyle w:val="Caption"/>
        <w:keepNext/>
        <w:jc w:val="center"/>
        <w:rPr>
          <w:rFonts w:ascii="Garamond" w:hAnsi="Garamond"/>
        </w:rPr>
      </w:pPr>
      <w:bookmarkStart w:name="_Toc211545294" w:id="11"/>
      <w:r w:rsidRPr="00D11C96">
        <w:rPr>
          <w:rFonts w:ascii="Garamond" w:hAnsi="Garamond"/>
        </w:rPr>
        <w:t xml:space="preserve">Tabla </w:t>
      </w:r>
      <w:r w:rsidRPr="00D11C96">
        <w:rPr>
          <w:rFonts w:ascii="Garamond" w:hAnsi="Garamond"/>
        </w:rPr>
        <w:fldChar w:fldCharType="begin"/>
      </w:r>
      <w:r w:rsidRPr="00D11C96">
        <w:rPr>
          <w:rFonts w:ascii="Garamond" w:hAnsi="Garamond"/>
        </w:rPr>
        <w:instrText xml:space="preserve"> SEQ Tabla \* ARABIC </w:instrText>
      </w:r>
      <w:r w:rsidRPr="00D11C96">
        <w:rPr>
          <w:rFonts w:ascii="Garamond" w:hAnsi="Garamond"/>
        </w:rPr>
        <w:fldChar w:fldCharType="separate"/>
      </w:r>
      <w:r w:rsidR="006E2525">
        <w:rPr>
          <w:rFonts w:ascii="Garamond" w:hAnsi="Garamond"/>
          <w:noProof/>
        </w:rPr>
        <w:t>8</w:t>
      </w:r>
      <w:r w:rsidRPr="00D11C96">
        <w:rPr>
          <w:rFonts w:ascii="Garamond" w:hAnsi="Garamond"/>
        </w:rPr>
        <w:fldChar w:fldCharType="end"/>
      </w:r>
      <w:r w:rsidRPr="00D11C96">
        <w:rPr>
          <w:rFonts w:ascii="Garamond" w:hAnsi="Garamond"/>
        </w:rPr>
        <w:t>. Incremento de áreas de territorios artificializados 2002 - 2018.</w:t>
      </w:r>
      <w:bookmarkEnd w:id="11"/>
    </w:p>
    <w:tbl>
      <w:tblPr>
        <w:tblStyle w:val="TableGrid"/>
        <w:tblW w:w="0" w:type="auto"/>
        <w:jc w:val="center"/>
        <w:tblLook w:val="04A0" w:firstRow="1" w:lastRow="0" w:firstColumn="1" w:lastColumn="0" w:noHBand="0" w:noVBand="1"/>
      </w:tblPr>
      <w:tblGrid>
        <w:gridCol w:w="4414"/>
        <w:gridCol w:w="4414"/>
      </w:tblGrid>
      <w:tr w:rsidRPr="00D11C96" w:rsidR="001B40F4" w14:paraId="70830F5D" w14:textId="77777777">
        <w:trPr>
          <w:jc w:val="center"/>
        </w:trPr>
        <w:tc>
          <w:tcPr>
            <w:tcW w:w="4414" w:type="dxa"/>
            <w:vAlign w:val="center"/>
          </w:tcPr>
          <w:p w:rsidRPr="00D11C96" w:rsidR="001B40F4" w:rsidRDefault="001B40F4" w14:paraId="67BE02C2" w14:textId="77777777">
            <w:pPr>
              <w:jc w:val="center"/>
              <w:rPr>
                <w:rFonts w:ascii="Garamond" w:hAnsi="Garamond" w:cs="Arial"/>
              </w:rPr>
            </w:pPr>
            <w:r w:rsidRPr="00D11C96">
              <w:rPr>
                <w:rFonts w:ascii="Garamond" w:hAnsi="Garamond" w:cs="Arial"/>
              </w:rPr>
              <w:t xml:space="preserve">Año de información Corine </w:t>
            </w:r>
            <w:proofErr w:type="spellStart"/>
            <w:r w:rsidRPr="00D11C96">
              <w:rPr>
                <w:rFonts w:ascii="Garamond" w:hAnsi="Garamond" w:cs="Arial"/>
              </w:rPr>
              <w:t>Land</w:t>
            </w:r>
            <w:proofErr w:type="spellEnd"/>
            <w:r w:rsidRPr="00D11C96">
              <w:rPr>
                <w:rFonts w:ascii="Garamond" w:hAnsi="Garamond" w:cs="Arial"/>
              </w:rPr>
              <w:t xml:space="preserve"> </w:t>
            </w:r>
            <w:proofErr w:type="spellStart"/>
            <w:r w:rsidRPr="00D11C96">
              <w:rPr>
                <w:rFonts w:ascii="Garamond" w:hAnsi="Garamond" w:cs="Arial"/>
              </w:rPr>
              <w:t>Cover</w:t>
            </w:r>
            <w:proofErr w:type="spellEnd"/>
          </w:p>
        </w:tc>
        <w:tc>
          <w:tcPr>
            <w:tcW w:w="4414" w:type="dxa"/>
            <w:vAlign w:val="center"/>
          </w:tcPr>
          <w:p w:rsidRPr="00D11C96" w:rsidR="001B40F4" w:rsidRDefault="001B40F4" w14:paraId="7F7CC449" w14:textId="77777777">
            <w:pPr>
              <w:jc w:val="center"/>
              <w:rPr>
                <w:rFonts w:ascii="Garamond" w:hAnsi="Garamond" w:cs="Arial"/>
              </w:rPr>
            </w:pPr>
            <w:r w:rsidRPr="00D11C96">
              <w:rPr>
                <w:rFonts w:ascii="Garamond" w:hAnsi="Garamond" w:cs="Arial"/>
              </w:rPr>
              <w:t>Numero de ha de territorios artificializados</w:t>
            </w:r>
          </w:p>
        </w:tc>
      </w:tr>
      <w:tr w:rsidRPr="00D11C96" w:rsidR="001B40F4" w14:paraId="1E82E527" w14:textId="77777777">
        <w:trPr>
          <w:jc w:val="center"/>
        </w:trPr>
        <w:tc>
          <w:tcPr>
            <w:tcW w:w="4414" w:type="dxa"/>
            <w:vAlign w:val="center"/>
          </w:tcPr>
          <w:p w:rsidRPr="00D11C96" w:rsidR="001B40F4" w:rsidRDefault="001B40F4" w14:paraId="6EF163E2" w14:textId="77777777">
            <w:pPr>
              <w:jc w:val="center"/>
              <w:rPr>
                <w:rFonts w:ascii="Garamond" w:hAnsi="Garamond" w:cs="Arial"/>
              </w:rPr>
            </w:pPr>
            <w:r w:rsidRPr="00D11C96">
              <w:rPr>
                <w:rFonts w:ascii="Garamond" w:hAnsi="Garamond" w:cs="Arial"/>
              </w:rPr>
              <w:t>Año 2002</w:t>
            </w:r>
          </w:p>
        </w:tc>
        <w:tc>
          <w:tcPr>
            <w:tcW w:w="4414" w:type="dxa"/>
            <w:vAlign w:val="center"/>
          </w:tcPr>
          <w:p w:rsidRPr="00D11C96" w:rsidR="001B40F4" w:rsidRDefault="001B40F4" w14:paraId="3D91D41B" w14:textId="77777777">
            <w:pPr>
              <w:jc w:val="center"/>
              <w:rPr>
                <w:rFonts w:ascii="Garamond" w:hAnsi="Garamond" w:cs="Arial"/>
              </w:rPr>
            </w:pPr>
            <w:r w:rsidRPr="00D11C96">
              <w:rPr>
                <w:rFonts w:ascii="Garamond" w:hAnsi="Garamond" w:cs="Arial"/>
              </w:rPr>
              <w:t>37.817 ha + 3.090 m</w:t>
            </w:r>
            <w:r w:rsidRPr="00D11C96">
              <w:rPr>
                <w:rFonts w:ascii="Garamond" w:hAnsi="Garamond" w:cs="Arial"/>
                <w:vertAlign w:val="superscript"/>
              </w:rPr>
              <w:t>2</w:t>
            </w:r>
          </w:p>
        </w:tc>
      </w:tr>
      <w:tr w:rsidRPr="00D11C96" w:rsidR="001B40F4" w14:paraId="4B34AFAD" w14:textId="77777777">
        <w:trPr>
          <w:jc w:val="center"/>
        </w:trPr>
        <w:tc>
          <w:tcPr>
            <w:tcW w:w="4414" w:type="dxa"/>
            <w:vAlign w:val="center"/>
          </w:tcPr>
          <w:p w:rsidRPr="00D11C96" w:rsidR="001B40F4" w:rsidRDefault="001B40F4" w14:paraId="1E9DDEBD" w14:textId="77777777">
            <w:pPr>
              <w:jc w:val="center"/>
              <w:rPr>
                <w:rFonts w:ascii="Garamond" w:hAnsi="Garamond" w:cs="Arial"/>
              </w:rPr>
            </w:pPr>
            <w:r w:rsidRPr="00D11C96">
              <w:rPr>
                <w:rFonts w:ascii="Garamond" w:hAnsi="Garamond" w:cs="Arial"/>
              </w:rPr>
              <w:t>Año 2018</w:t>
            </w:r>
          </w:p>
        </w:tc>
        <w:tc>
          <w:tcPr>
            <w:tcW w:w="4414" w:type="dxa"/>
            <w:vAlign w:val="center"/>
          </w:tcPr>
          <w:p w:rsidRPr="00D11C96" w:rsidR="001B40F4" w:rsidRDefault="001B40F4" w14:paraId="2976BCC6" w14:textId="77777777">
            <w:pPr>
              <w:jc w:val="center"/>
              <w:rPr>
                <w:rFonts w:ascii="Garamond" w:hAnsi="Garamond" w:cs="Arial"/>
              </w:rPr>
            </w:pPr>
            <w:r w:rsidRPr="00D11C96">
              <w:rPr>
                <w:rFonts w:ascii="Garamond" w:hAnsi="Garamond" w:cs="Arial"/>
              </w:rPr>
              <w:t>56.207 ha + 1.409 m</w:t>
            </w:r>
            <w:r w:rsidRPr="00D11C96">
              <w:rPr>
                <w:rFonts w:ascii="Garamond" w:hAnsi="Garamond" w:cs="Arial"/>
                <w:vertAlign w:val="superscript"/>
              </w:rPr>
              <w:t>2</w:t>
            </w:r>
          </w:p>
        </w:tc>
      </w:tr>
      <w:tr w:rsidRPr="00D11C96" w:rsidR="001B40F4" w14:paraId="56D3B030" w14:textId="77777777">
        <w:trPr>
          <w:jc w:val="center"/>
        </w:trPr>
        <w:tc>
          <w:tcPr>
            <w:tcW w:w="4414" w:type="dxa"/>
            <w:vAlign w:val="center"/>
          </w:tcPr>
          <w:p w:rsidRPr="00D11C96" w:rsidR="001B40F4" w:rsidRDefault="001B40F4" w14:paraId="3F445F15" w14:textId="77777777">
            <w:pPr>
              <w:jc w:val="center"/>
              <w:rPr>
                <w:rFonts w:ascii="Garamond" w:hAnsi="Garamond" w:cs="Arial"/>
              </w:rPr>
            </w:pPr>
            <w:r w:rsidRPr="00D11C96">
              <w:rPr>
                <w:rFonts w:ascii="Garamond" w:hAnsi="Garamond" w:cs="Arial"/>
              </w:rPr>
              <w:t>Crecimiento</w:t>
            </w:r>
          </w:p>
        </w:tc>
        <w:tc>
          <w:tcPr>
            <w:tcW w:w="4414" w:type="dxa"/>
            <w:vAlign w:val="center"/>
          </w:tcPr>
          <w:p w:rsidRPr="00D11C96" w:rsidR="001B40F4" w:rsidRDefault="001B40F4" w14:paraId="3D007D4C" w14:textId="77777777">
            <w:pPr>
              <w:keepNext/>
              <w:jc w:val="center"/>
              <w:rPr>
                <w:rFonts w:ascii="Garamond" w:hAnsi="Garamond" w:cs="Arial"/>
              </w:rPr>
            </w:pPr>
            <w:r w:rsidRPr="00D11C96">
              <w:rPr>
                <w:rFonts w:ascii="Garamond" w:hAnsi="Garamond" w:cs="Arial"/>
              </w:rPr>
              <w:t>18.389 ha + 8.319 m</w:t>
            </w:r>
            <w:r w:rsidRPr="00D11C96">
              <w:rPr>
                <w:rFonts w:ascii="Garamond" w:hAnsi="Garamond" w:cs="Arial"/>
                <w:vertAlign w:val="superscript"/>
              </w:rPr>
              <w:t>2</w:t>
            </w:r>
          </w:p>
        </w:tc>
      </w:tr>
    </w:tbl>
    <w:p w:rsidRPr="00D11C96" w:rsidR="001B40F4" w:rsidP="001B40F4" w:rsidRDefault="001B40F4" w14:paraId="3273E9F4" w14:textId="77777777">
      <w:pPr>
        <w:jc w:val="center"/>
        <w:rPr>
          <w:rFonts w:ascii="Garamond" w:hAnsi="Garamond" w:cs="Arial"/>
          <w:sz w:val="20"/>
          <w:szCs w:val="20"/>
        </w:rPr>
      </w:pPr>
      <w:r w:rsidRPr="00D11C96">
        <w:rPr>
          <w:rFonts w:ascii="Garamond" w:hAnsi="Garamond" w:cs="Arial"/>
          <w:sz w:val="20"/>
          <w:szCs w:val="20"/>
        </w:rPr>
        <w:t>Fuente: Elaboración propia con datos del IGAC (2002) e IGAC (2018).</w:t>
      </w:r>
    </w:p>
    <w:p w:rsidRPr="00D11C96" w:rsidR="00BE1238" w:rsidP="00FA2ED7" w:rsidRDefault="00BE1238" w14:paraId="34DC1F12" w14:textId="16D685A5">
      <w:pPr>
        <w:jc w:val="both"/>
        <w:rPr>
          <w:rFonts w:ascii="Garamond" w:hAnsi="Garamond" w:cs="Arial"/>
        </w:rPr>
      </w:pPr>
      <w:r w:rsidRPr="00D11C96">
        <w:rPr>
          <w:rFonts w:ascii="Garamond" w:hAnsi="Garamond" w:cs="Arial"/>
        </w:rPr>
        <w:t xml:space="preserve">En términos de la sustitución de coberturas naturales por dinámicas de artificialización, pudo evidenciarse que en el periodo 2002 a 2018, los territorios artificializados pasaron de 37.817 ha + 3090 </w:t>
      </w:r>
      <w:r w:rsidRPr="00D11C96">
        <w:rPr>
          <w:rFonts w:ascii="Garamond" w:hAnsi="Garamond" w:cs="Arial"/>
        </w:rPr>
        <w:t>m2</w:t>
      </w:r>
      <w:r w:rsidRPr="00D11C96" w:rsidR="00247049">
        <w:rPr>
          <w:rFonts w:ascii="Garamond" w:hAnsi="Garamond" w:cs="Arial"/>
        </w:rPr>
        <w:t xml:space="preserve"> </w:t>
      </w:r>
      <w:r w:rsidRPr="00D11C96">
        <w:rPr>
          <w:rFonts w:ascii="Garamond" w:hAnsi="Garamond" w:cs="Arial"/>
        </w:rPr>
        <w:t>en 2002 a 56.207 ha + 1410 m2 en 2018, lo que significa un incremento del 48.63%, en contraste los territorios agrícolas y las áreas húmedas presentaron una reducción de su área.</w:t>
      </w:r>
    </w:p>
    <w:p w:rsidRPr="00D11C96" w:rsidR="00BE1238" w:rsidP="00BE1238" w:rsidRDefault="00BE1238" w14:paraId="7BA0C14A" w14:textId="773C3C78">
      <w:pPr>
        <w:pStyle w:val="Caption"/>
        <w:keepNext/>
        <w:jc w:val="center"/>
        <w:rPr>
          <w:rFonts w:ascii="Garamond" w:hAnsi="Garamond"/>
        </w:rPr>
      </w:pPr>
      <w:bookmarkStart w:name="_Toc211545295" w:id="12"/>
      <w:r w:rsidRPr="00D11C96">
        <w:rPr>
          <w:rFonts w:ascii="Garamond" w:hAnsi="Garamond"/>
        </w:rPr>
        <w:t xml:space="preserve">Tabla </w:t>
      </w:r>
      <w:r w:rsidRPr="00D11C96">
        <w:rPr>
          <w:rFonts w:ascii="Garamond" w:hAnsi="Garamond"/>
        </w:rPr>
        <w:fldChar w:fldCharType="begin"/>
      </w:r>
      <w:r w:rsidRPr="00D11C96">
        <w:rPr>
          <w:rFonts w:ascii="Garamond" w:hAnsi="Garamond"/>
        </w:rPr>
        <w:instrText xml:space="preserve"> SEQ Tabla \* ARABIC </w:instrText>
      </w:r>
      <w:r w:rsidRPr="00D11C96">
        <w:rPr>
          <w:rFonts w:ascii="Garamond" w:hAnsi="Garamond"/>
        </w:rPr>
        <w:fldChar w:fldCharType="separate"/>
      </w:r>
      <w:r w:rsidR="006E2525">
        <w:rPr>
          <w:rFonts w:ascii="Garamond" w:hAnsi="Garamond"/>
          <w:noProof/>
        </w:rPr>
        <w:t>9</w:t>
      </w:r>
      <w:r w:rsidRPr="00D11C96">
        <w:rPr>
          <w:rFonts w:ascii="Garamond" w:hAnsi="Garamond"/>
        </w:rPr>
        <w:fldChar w:fldCharType="end"/>
      </w:r>
      <w:r w:rsidRPr="00D11C96">
        <w:rPr>
          <w:rFonts w:ascii="Garamond" w:hAnsi="Garamond"/>
        </w:rPr>
        <w:t>. Variación de coberturas años 2002 – 2018.</w:t>
      </w:r>
      <w:bookmarkEnd w:id="12"/>
    </w:p>
    <w:tbl>
      <w:tblPr>
        <w:tblW w:w="6040" w:type="dxa"/>
        <w:jc w:val="center"/>
        <w:tblLook w:val="04A0" w:firstRow="1" w:lastRow="0" w:firstColumn="1" w:lastColumn="0" w:noHBand="0" w:noVBand="1"/>
      </w:tblPr>
      <w:tblGrid>
        <w:gridCol w:w="2820"/>
        <w:gridCol w:w="986"/>
        <w:gridCol w:w="1300"/>
        <w:gridCol w:w="960"/>
      </w:tblGrid>
      <w:tr w:rsidRPr="00D11C96" w:rsidR="00BE1238" w14:paraId="59F4ABE0" w14:textId="77777777">
        <w:trPr>
          <w:trHeight w:val="288"/>
          <w:jc w:val="center"/>
        </w:trPr>
        <w:tc>
          <w:tcPr>
            <w:tcW w:w="2820" w:type="dxa"/>
            <w:tcBorders>
              <w:top w:val="single" w:color="auto" w:sz="4" w:space="0"/>
              <w:left w:val="single" w:color="auto" w:sz="4" w:space="0"/>
              <w:bottom w:val="single" w:color="auto" w:sz="4" w:space="0"/>
              <w:right w:val="single" w:color="auto" w:sz="4" w:space="0"/>
            </w:tcBorders>
            <w:noWrap/>
            <w:vAlign w:val="center"/>
            <w:hideMark/>
          </w:tcPr>
          <w:p w:rsidRPr="00D11C96" w:rsidR="00BE1238" w:rsidRDefault="00BE1238" w14:paraId="61242639" w14:textId="77777777">
            <w:pPr>
              <w:jc w:val="center"/>
              <w:rPr>
                <w:rFonts w:ascii="Garamond" w:hAnsi="Garamond"/>
                <w:b/>
                <w:color w:val="000000"/>
                <w:sz w:val="20"/>
                <w:szCs w:val="20"/>
              </w:rPr>
            </w:pPr>
            <w:r w:rsidRPr="00D11C96">
              <w:rPr>
                <w:rFonts w:ascii="Garamond" w:hAnsi="Garamond"/>
                <w:b/>
                <w:color w:val="000000"/>
                <w:sz w:val="20"/>
                <w:szCs w:val="20"/>
              </w:rPr>
              <w:t xml:space="preserve">Leyenda Corine </w:t>
            </w:r>
            <w:proofErr w:type="spellStart"/>
            <w:r w:rsidRPr="00D11C96">
              <w:rPr>
                <w:rFonts w:ascii="Garamond" w:hAnsi="Garamond"/>
                <w:b/>
                <w:color w:val="000000"/>
                <w:sz w:val="20"/>
                <w:szCs w:val="20"/>
              </w:rPr>
              <w:t>Land</w:t>
            </w:r>
            <w:proofErr w:type="spellEnd"/>
            <w:r w:rsidRPr="00D11C96">
              <w:rPr>
                <w:rFonts w:ascii="Garamond" w:hAnsi="Garamond"/>
                <w:b/>
                <w:color w:val="000000"/>
                <w:sz w:val="20"/>
                <w:szCs w:val="20"/>
              </w:rPr>
              <w:t xml:space="preserve"> </w:t>
            </w:r>
            <w:proofErr w:type="spellStart"/>
            <w:r w:rsidRPr="00D11C96">
              <w:rPr>
                <w:rFonts w:ascii="Garamond" w:hAnsi="Garamond"/>
                <w:b/>
                <w:color w:val="000000"/>
                <w:sz w:val="20"/>
                <w:szCs w:val="20"/>
              </w:rPr>
              <w:t>Cover</w:t>
            </w:r>
            <w:proofErr w:type="spellEnd"/>
          </w:p>
        </w:tc>
        <w:tc>
          <w:tcPr>
            <w:tcW w:w="960" w:type="dxa"/>
            <w:tcBorders>
              <w:top w:val="single" w:color="auto" w:sz="4" w:space="0"/>
              <w:left w:val="nil"/>
              <w:bottom w:val="single" w:color="auto" w:sz="4" w:space="0"/>
              <w:right w:val="single" w:color="auto" w:sz="4" w:space="0"/>
            </w:tcBorders>
            <w:noWrap/>
            <w:vAlign w:val="center"/>
            <w:hideMark/>
          </w:tcPr>
          <w:p w:rsidRPr="00D11C96" w:rsidR="00BE1238" w:rsidRDefault="00BE1238" w14:paraId="42DB39BD" w14:textId="77777777">
            <w:pPr>
              <w:jc w:val="center"/>
              <w:rPr>
                <w:rFonts w:ascii="Garamond" w:hAnsi="Garamond"/>
                <w:b/>
                <w:color w:val="000000"/>
                <w:sz w:val="20"/>
                <w:szCs w:val="20"/>
              </w:rPr>
            </w:pPr>
            <w:r w:rsidRPr="00D11C96">
              <w:rPr>
                <w:rFonts w:ascii="Garamond" w:hAnsi="Garamond"/>
                <w:b/>
                <w:color w:val="000000"/>
                <w:sz w:val="20"/>
                <w:szCs w:val="20"/>
              </w:rPr>
              <w:t>2002 (ha)</w:t>
            </w:r>
          </w:p>
        </w:tc>
        <w:tc>
          <w:tcPr>
            <w:tcW w:w="1300" w:type="dxa"/>
            <w:tcBorders>
              <w:top w:val="single" w:color="auto" w:sz="4" w:space="0"/>
              <w:left w:val="nil"/>
              <w:bottom w:val="single" w:color="auto" w:sz="4" w:space="0"/>
              <w:right w:val="single" w:color="auto" w:sz="4" w:space="0"/>
            </w:tcBorders>
            <w:noWrap/>
            <w:vAlign w:val="center"/>
            <w:hideMark/>
          </w:tcPr>
          <w:p w:rsidRPr="00D11C96" w:rsidR="00BE1238" w:rsidRDefault="00BE1238" w14:paraId="6F42EA1D" w14:textId="77777777">
            <w:pPr>
              <w:jc w:val="center"/>
              <w:rPr>
                <w:rFonts w:ascii="Garamond" w:hAnsi="Garamond"/>
                <w:b/>
                <w:color w:val="000000"/>
                <w:sz w:val="20"/>
                <w:szCs w:val="20"/>
              </w:rPr>
            </w:pPr>
            <w:r w:rsidRPr="00D11C96">
              <w:rPr>
                <w:rFonts w:ascii="Garamond" w:hAnsi="Garamond"/>
                <w:b/>
                <w:color w:val="000000"/>
                <w:sz w:val="20"/>
                <w:szCs w:val="20"/>
              </w:rPr>
              <w:t>2018 (ha)</w:t>
            </w:r>
          </w:p>
        </w:tc>
        <w:tc>
          <w:tcPr>
            <w:tcW w:w="960" w:type="dxa"/>
            <w:tcBorders>
              <w:top w:val="single" w:color="auto" w:sz="4" w:space="0"/>
              <w:left w:val="nil"/>
              <w:bottom w:val="single" w:color="auto" w:sz="4" w:space="0"/>
              <w:right w:val="single" w:color="auto" w:sz="4" w:space="0"/>
            </w:tcBorders>
            <w:noWrap/>
            <w:vAlign w:val="center"/>
            <w:hideMark/>
          </w:tcPr>
          <w:p w:rsidRPr="00D11C96" w:rsidR="00BE1238" w:rsidRDefault="00BE1238" w14:paraId="751C4E4C" w14:textId="77777777">
            <w:pPr>
              <w:jc w:val="center"/>
              <w:rPr>
                <w:rFonts w:ascii="Garamond" w:hAnsi="Garamond"/>
                <w:b/>
                <w:color w:val="000000"/>
                <w:sz w:val="20"/>
                <w:szCs w:val="20"/>
              </w:rPr>
            </w:pPr>
            <w:r w:rsidRPr="00D11C96">
              <w:rPr>
                <w:rFonts w:ascii="Garamond" w:hAnsi="Garamond"/>
                <w:b/>
                <w:color w:val="000000"/>
                <w:sz w:val="20"/>
                <w:szCs w:val="20"/>
              </w:rPr>
              <w:t>%</w:t>
            </w:r>
          </w:p>
        </w:tc>
      </w:tr>
      <w:tr w:rsidRPr="00D11C96" w:rsidR="00BE1238" w14:paraId="6514F556" w14:textId="77777777">
        <w:trPr>
          <w:trHeight w:val="288"/>
          <w:jc w:val="center"/>
        </w:trPr>
        <w:tc>
          <w:tcPr>
            <w:tcW w:w="2820" w:type="dxa"/>
            <w:tcBorders>
              <w:top w:val="nil"/>
              <w:left w:val="single" w:color="auto" w:sz="4" w:space="0"/>
              <w:bottom w:val="single" w:color="auto" w:sz="4" w:space="0"/>
              <w:right w:val="single" w:color="auto" w:sz="4" w:space="0"/>
            </w:tcBorders>
            <w:noWrap/>
            <w:vAlign w:val="center"/>
            <w:hideMark/>
          </w:tcPr>
          <w:p w:rsidRPr="00D11C96" w:rsidR="00BE1238" w:rsidRDefault="00BE1238" w14:paraId="1A728A5E" w14:textId="77777777">
            <w:pPr>
              <w:jc w:val="center"/>
              <w:rPr>
                <w:rFonts w:ascii="Garamond" w:hAnsi="Garamond"/>
                <w:color w:val="000000"/>
                <w:sz w:val="20"/>
                <w:szCs w:val="20"/>
              </w:rPr>
            </w:pPr>
            <w:r w:rsidRPr="00D11C96">
              <w:rPr>
                <w:rFonts w:ascii="Garamond" w:hAnsi="Garamond"/>
                <w:color w:val="000000"/>
                <w:sz w:val="20"/>
                <w:szCs w:val="20"/>
              </w:rPr>
              <w:t>Territorios Artificializados</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3732F165" w14:textId="77777777">
            <w:pPr>
              <w:jc w:val="center"/>
              <w:rPr>
                <w:rFonts w:ascii="Garamond" w:hAnsi="Garamond"/>
                <w:color w:val="000000"/>
                <w:sz w:val="20"/>
                <w:szCs w:val="20"/>
              </w:rPr>
            </w:pPr>
            <w:r w:rsidRPr="00D11C96">
              <w:rPr>
                <w:rFonts w:ascii="Garamond" w:hAnsi="Garamond"/>
                <w:color w:val="000000"/>
                <w:sz w:val="20"/>
                <w:szCs w:val="20"/>
              </w:rPr>
              <w:t>37817.31</w:t>
            </w:r>
          </w:p>
        </w:tc>
        <w:tc>
          <w:tcPr>
            <w:tcW w:w="1300" w:type="dxa"/>
            <w:tcBorders>
              <w:top w:val="nil"/>
              <w:left w:val="nil"/>
              <w:bottom w:val="single" w:color="auto" w:sz="4" w:space="0"/>
              <w:right w:val="single" w:color="auto" w:sz="4" w:space="0"/>
            </w:tcBorders>
            <w:noWrap/>
            <w:vAlign w:val="center"/>
            <w:hideMark/>
          </w:tcPr>
          <w:p w:rsidRPr="00D11C96" w:rsidR="00BE1238" w:rsidRDefault="00BE1238" w14:paraId="386380D7" w14:textId="77777777">
            <w:pPr>
              <w:jc w:val="center"/>
              <w:rPr>
                <w:rFonts w:ascii="Garamond" w:hAnsi="Garamond"/>
                <w:color w:val="000000"/>
                <w:sz w:val="20"/>
                <w:szCs w:val="20"/>
              </w:rPr>
            </w:pPr>
            <w:r w:rsidRPr="00D11C96">
              <w:rPr>
                <w:rFonts w:ascii="Garamond" w:hAnsi="Garamond"/>
                <w:color w:val="000000"/>
                <w:sz w:val="20"/>
                <w:szCs w:val="20"/>
              </w:rPr>
              <w:t>56207.141</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5C528714" w14:textId="77777777">
            <w:pPr>
              <w:jc w:val="center"/>
              <w:rPr>
                <w:rFonts w:ascii="Garamond" w:hAnsi="Garamond"/>
                <w:color w:val="000000"/>
                <w:sz w:val="20"/>
                <w:szCs w:val="20"/>
              </w:rPr>
            </w:pPr>
            <w:r w:rsidRPr="00D11C96">
              <w:rPr>
                <w:rFonts w:ascii="Garamond" w:hAnsi="Garamond"/>
                <w:color w:val="000000"/>
                <w:sz w:val="20"/>
                <w:szCs w:val="20"/>
              </w:rPr>
              <w:t>48.63%</w:t>
            </w:r>
          </w:p>
        </w:tc>
      </w:tr>
      <w:tr w:rsidRPr="00D11C96" w:rsidR="00BE1238" w14:paraId="28B77C60" w14:textId="77777777">
        <w:trPr>
          <w:trHeight w:val="288"/>
          <w:jc w:val="center"/>
        </w:trPr>
        <w:tc>
          <w:tcPr>
            <w:tcW w:w="2820" w:type="dxa"/>
            <w:tcBorders>
              <w:top w:val="nil"/>
              <w:left w:val="single" w:color="auto" w:sz="4" w:space="0"/>
              <w:bottom w:val="single" w:color="auto" w:sz="4" w:space="0"/>
              <w:right w:val="single" w:color="auto" w:sz="4" w:space="0"/>
            </w:tcBorders>
            <w:noWrap/>
            <w:vAlign w:val="center"/>
            <w:hideMark/>
          </w:tcPr>
          <w:p w:rsidRPr="00D11C96" w:rsidR="00BE1238" w:rsidRDefault="00BE1238" w14:paraId="7014D3BC" w14:textId="77777777">
            <w:pPr>
              <w:jc w:val="center"/>
              <w:rPr>
                <w:rFonts w:ascii="Garamond" w:hAnsi="Garamond"/>
                <w:color w:val="000000"/>
                <w:sz w:val="20"/>
                <w:szCs w:val="20"/>
              </w:rPr>
            </w:pPr>
            <w:r w:rsidRPr="00D11C96">
              <w:rPr>
                <w:rFonts w:ascii="Garamond" w:hAnsi="Garamond"/>
                <w:color w:val="000000"/>
                <w:sz w:val="20"/>
                <w:szCs w:val="20"/>
              </w:rPr>
              <w:t>Territorios Agrícolas</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6A0BB7EC" w14:textId="77777777">
            <w:pPr>
              <w:jc w:val="center"/>
              <w:rPr>
                <w:rFonts w:ascii="Garamond" w:hAnsi="Garamond"/>
                <w:color w:val="000000"/>
                <w:sz w:val="20"/>
                <w:szCs w:val="20"/>
              </w:rPr>
            </w:pPr>
            <w:r w:rsidRPr="00D11C96">
              <w:rPr>
                <w:rFonts w:ascii="Garamond" w:hAnsi="Garamond"/>
                <w:color w:val="000000"/>
                <w:sz w:val="20"/>
                <w:szCs w:val="20"/>
              </w:rPr>
              <w:t>288574</w:t>
            </w:r>
          </w:p>
        </w:tc>
        <w:tc>
          <w:tcPr>
            <w:tcW w:w="1300" w:type="dxa"/>
            <w:tcBorders>
              <w:top w:val="nil"/>
              <w:left w:val="nil"/>
              <w:bottom w:val="single" w:color="auto" w:sz="4" w:space="0"/>
              <w:right w:val="single" w:color="auto" w:sz="4" w:space="0"/>
            </w:tcBorders>
            <w:noWrap/>
            <w:vAlign w:val="center"/>
            <w:hideMark/>
          </w:tcPr>
          <w:p w:rsidRPr="00D11C96" w:rsidR="00BE1238" w:rsidRDefault="00BE1238" w14:paraId="5E9BD6D6" w14:textId="77777777">
            <w:pPr>
              <w:jc w:val="center"/>
              <w:rPr>
                <w:rFonts w:ascii="Garamond" w:hAnsi="Garamond"/>
                <w:color w:val="000000"/>
                <w:sz w:val="20"/>
                <w:szCs w:val="20"/>
              </w:rPr>
            </w:pPr>
            <w:r w:rsidRPr="00D11C96">
              <w:rPr>
                <w:rFonts w:ascii="Garamond" w:hAnsi="Garamond"/>
                <w:color w:val="000000"/>
                <w:sz w:val="20"/>
                <w:szCs w:val="20"/>
              </w:rPr>
              <w:t>259826.1861</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1B8DC47C" w14:textId="77777777">
            <w:pPr>
              <w:jc w:val="center"/>
              <w:rPr>
                <w:rFonts w:ascii="Garamond" w:hAnsi="Garamond"/>
                <w:color w:val="000000"/>
                <w:sz w:val="20"/>
                <w:szCs w:val="20"/>
              </w:rPr>
            </w:pPr>
            <w:r w:rsidRPr="00D11C96">
              <w:rPr>
                <w:rFonts w:ascii="Garamond" w:hAnsi="Garamond"/>
                <w:color w:val="000000"/>
                <w:sz w:val="20"/>
                <w:szCs w:val="20"/>
              </w:rPr>
              <w:t>-9.96%</w:t>
            </w:r>
          </w:p>
        </w:tc>
      </w:tr>
      <w:tr w:rsidRPr="00D11C96" w:rsidR="00BE1238" w14:paraId="66F9DEFC" w14:textId="77777777">
        <w:trPr>
          <w:trHeight w:val="288"/>
          <w:jc w:val="center"/>
        </w:trPr>
        <w:tc>
          <w:tcPr>
            <w:tcW w:w="2820" w:type="dxa"/>
            <w:tcBorders>
              <w:top w:val="nil"/>
              <w:left w:val="single" w:color="auto" w:sz="4" w:space="0"/>
              <w:bottom w:val="single" w:color="auto" w:sz="4" w:space="0"/>
              <w:right w:val="single" w:color="auto" w:sz="4" w:space="0"/>
            </w:tcBorders>
            <w:noWrap/>
            <w:vAlign w:val="center"/>
            <w:hideMark/>
          </w:tcPr>
          <w:p w:rsidRPr="00D11C96" w:rsidR="00BE1238" w:rsidRDefault="00BE1238" w14:paraId="222B329D" w14:textId="77777777">
            <w:pPr>
              <w:jc w:val="center"/>
              <w:rPr>
                <w:rFonts w:ascii="Garamond" w:hAnsi="Garamond"/>
                <w:sz w:val="22"/>
                <w:szCs w:val="22"/>
              </w:rPr>
            </w:pPr>
            <w:r w:rsidRPr="00D11C96">
              <w:rPr>
                <w:rFonts w:ascii="Garamond" w:hAnsi="Garamond"/>
                <w:sz w:val="22"/>
                <w:szCs w:val="22"/>
              </w:rPr>
              <w:t>Bosques y áreas seminaturales</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6E416C4D" w14:textId="77777777">
            <w:pPr>
              <w:jc w:val="center"/>
              <w:rPr>
                <w:rFonts w:ascii="Garamond" w:hAnsi="Garamond"/>
                <w:sz w:val="22"/>
                <w:szCs w:val="22"/>
              </w:rPr>
            </w:pPr>
            <w:r w:rsidRPr="00D11C96">
              <w:rPr>
                <w:rFonts w:ascii="Garamond" w:hAnsi="Garamond"/>
                <w:sz w:val="22"/>
                <w:szCs w:val="22"/>
              </w:rPr>
              <w:t>89526.66</w:t>
            </w:r>
          </w:p>
        </w:tc>
        <w:tc>
          <w:tcPr>
            <w:tcW w:w="1300" w:type="dxa"/>
            <w:tcBorders>
              <w:top w:val="nil"/>
              <w:left w:val="nil"/>
              <w:bottom w:val="single" w:color="auto" w:sz="4" w:space="0"/>
              <w:right w:val="single" w:color="auto" w:sz="4" w:space="0"/>
            </w:tcBorders>
            <w:noWrap/>
            <w:vAlign w:val="center"/>
            <w:hideMark/>
          </w:tcPr>
          <w:p w:rsidRPr="00D11C96" w:rsidR="00BE1238" w:rsidRDefault="00BE1238" w14:paraId="5EE4B9CF" w14:textId="77777777">
            <w:pPr>
              <w:jc w:val="center"/>
              <w:rPr>
                <w:rFonts w:ascii="Garamond" w:hAnsi="Garamond"/>
                <w:sz w:val="22"/>
                <w:szCs w:val="22"/>
              </w:rPr>
            </w:pPr>
            <w:r w:rsidRPr="00D11C96">
              <w:rPr>
                <w:rFonts w:ascii="Garamond" w:hAnsi="Garamond"/>
                <w:sz w:val="22"/>
                <w:szCs w:val="22"/>
              </w:rPr>
              <w:t>14980.66613</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07B93383" w14:textId="77777777">
            <w:pPr>
              <w:jc w:val="center"/>
              <w:rPr>
                <w:rFonts w:ascii="Garamond" w:hAnsi="Garamond"/>
                <w:sz w:val="22"/>
                <w:szCs w:val="22"/>
              </w:rPr>
            </w:pPr>
            <w:r w:rsidRPr="00D11C96">
              <w:rPr>
                <w:rFonts w:ascii="Garamond" w:hAnsi="Garamond"/>
                <w:sz w:val="22"/>
                <w:szCs w:val="22"/>
              </w:rPr>
              <w:t>16.73%</w:t>
            </w:r>
          </w:p>
        </w:tc>
      </w:tr>
      <w:tr w:rsidRPr="00D11C96" w:rsidR="00BE1238" w14:paraId="1C6E3DF8" w14:textId="77777777">
        <w:trPr>
          <w:trHeight w:val="288"/>
          <w:jc w:val="center"/>
        </w:trPr>
        <w:tc>
          <w:tcPr>
            <w:tcW w:w="2820" w:type="dxa"/>
            <w:tcBorders>
              <w:top w:val="nil"/>
              <w:left w:val="single" w:color="auto" w:sz="4" w:space="0"/>
              <w:bottom w:val="single" w:color="auto" w:sz="4" w:space="0"/>
              <w:right w:val="single" w:color="auto" w:sz="4" w:space="0"/>
            </w:tcBorders>
            <w:noWrap/>
            <w:vAlign w:val="center"/>
            <w:hideMark/>
          </w:tcPr>
          <w:p w:rsidRPr="00D11C96" w:rsidR="00BE1238" w:rsidRDefault="00BE1238" w14:paraId="1AEC64CE" w14:textId="77777777">
            <w:pPr>
              <w:jc w:val="center"/>
              <w:rPr>
                <w:rFonts w:ascii="Garamond" w:hAnsi="Garamond"/>
                <w:color w:val="000000"/>
                <w:sz w:val="20"/>
                <w:szCs w:val="20"/>
              </w:rPr>
            </w:pPr>
            <w:r w:rsidRPr="00D11C96">
              <w:rPr>
                <w:rFonts w:ascii="Garamond" w:hAnsi="Garamond"/>
                <w:color w:val="000000"/>
                <w:sz w:val="20"/>
                <w:szCs w:val="20"/>
              </w:rPr>
              <w:t>áreas húmedas</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79E404F4" w14:textId="77777777">
            <w:pPr>
              <w:jc w:val="center"/>
              <w:rPr>
                <w:rFonts w:ascii="Garamond" w:hAnsi="Garamond"/>
                <w:color w:val="000000"/>
                <w:sz w:val="20"/>
                <w:szCs w:val="20"/>
              </w:rPr>
            </w:pPr>
            <w:r w:rsidRPr="00D11C96">
              <w:rPr>
                <w:rFonts w:ascii="Garamond" w:hAnsi="Garamond"/>
                <w:color w:val="000000"/>
                <w:sz w:val="20"/>
                <w:szCs w:val="20"/>
              </w:rPr>
              <w:t>2111.399</w:t>
            </w:r>
          </w:p>
        </w:tc>
        <w:tc>
          <w:tcPr>
            <w:tcW w:w="1300" w:type="dxa"/>
            <w:tcBorders>
              <w:top w:val="nil"/>
              <w:left w:val="nil"/>
              <w:bottom w:val="single" w:color="auto" w:sz="4" w:space="0"/>
              <w:right w:val="single" w:color="auto" w:sz="4" w:space="0"/>
            </w:tcBorders>
            <w:noWrap/>
            <w:vAlign w:val="center"/>
            <w:hideMark/>
          </w:tcPr>
          <w:p w:rsidRPr="00D11C96" w:rsidR="00BE1238" w:rsidRDefault="00BE1238" w14:paraId="3B9F07D7" w14:textId="77777777">
            <w:pPr>
              <w:jc w:val="center"/>
              <w:rPr>
                <w:rFonts w:ascii="Garamond" w:hAnsi="Garamond"/>
                <w:color w:val="000000"/>
                <w:sz w:val="20"/>
                <w:szCs w:val="20"/>
              </w:rPr>
            </w:pPr>
            <w:r w:rsidRPr="00D11C96">
              <w:rPr>
                <w:rFonts w:ascii="Garamond" w:hAnsi="Garamond"/>
                <w:color w:val="000000"/>
                <w:sz w:val="20"/>
                <w:szCs w:val="20"/>
              </w:rPr>
              <w:t>1660.113098</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5EFC9F0A" w14:textId="77777777">
            <w:pPr>
              <w:jc w:val="center"/>
              <w:rPr>
                <w:rFonts w:ascii="Garamond" w:hAnsi="Garamond"/>
                <w:color w:val="000000"/>
                <w:sz w:val="20"/>
                <w:szCs w:val="20"/>
              </w:rPr>
            </w:pPr>
            <w:r w:rsidRPr="00D11C96">
              <w:rPr>
                <w:rFonts w:ascii="Garamond" w:hAnsi="Garamond"/>
                <w:color w:val="000000"/>
                <w:sz w:val="20"/>
                <w:szCs w:val="20"/>
              </w:rPr>
              <w:t>-21.37%</w:t>
            </w:r>
          </w:p>
        </w:tc>
      </w:tr>
      <w:tr w:rsidRPr="00D11C96" w:rsidR="00BE1238" w14:paraId="0A020035" w14:textId="77777777">
        <w:trPr>
          <w:trHeight w:val="288"/>
          <w:jc w:val="center"/>
        </w:trPr>
        <w:tc>
          <w:tcPr>
            <w:tcW w:w="2820" w:type="dxa"/>
            <w:tcBorders>
              <w:top w:val="nil"/>
              <w:left w:val="single" w:color="auto" w:sz="4" w:space="0"/>
              <w:bottom w:val="single" w:color="auto" w:sz="4" w:space="0"/>
              <w:right w:val="single" w:color="auto" w:sz="4" w:space="0"/>
            </w:tcBorders>
            <w:noWrap/>
            <w:vAlign w:val="center"/>
            <w:hideMark/>
          </w:tcPr>
          <w:p w:rsidRPr="00D11C96" w:rsidR="00BE1238" w:rsidRDefault="00BE1238" w14:paraId="4C4C05D2" w14:textId="77777777">
            <w:pPr>
              <w:jc w:val="center"/>
              <w:rPr>
                <w:rFonts w:ascii="Garamond" w:hAnsi="Garamond"/>
                <w:color w:val="000000"/>
                <w:sz w:val="20"/>
                <w:szCs w:val="20"/>
              </w:rPr>
            </w:pPr>
            <w:r w:rsidRPr="00D11C96">
              <w:rPr>
                <w:rFonts w:ascii="Garamond" w:hAnsi="Garamond"/>
                <w:color w:val="000000"/>
                <w:sz w:val="20"/>
                <w:szCs w:val="20"/>
              </w:rPr>
              <w:t>Superficies de Agua</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1B882202" w14:textId="77777777">
            <w:pPr>
              <w:jc w:val="center"/>
              <w:rPr>
                <w:rFonts w:ascii="Garamond" w:hAnsi="Garamond"/>
                <w:color w:val="000000"/>
                <w:sz w:val="20"/>
                <w:szCs w:val="20"/>
              </w:rPr>
            </w:pPr>
            <w:r w:rsidRPr="00D11C96">
              <w:rPr>
                <w:rFonts w:ascii="Garamond" w:hAnsi="Garamond"/>
                <w:color w:val="000000"/>
                <w:sz w:val="20"/>
                <w:szCs w:val="20"/>
              </w:rPr>
              <w:t>4092.172</w:t>
            </w:r>
          </w:p>
        </w:tc>
        <w:tc>
          <w:tcPr>
            <w:tcW w:w="1300" w:type="dxa"/>
            <w:tcBorders>
              <w:top w:val="nil"/>
              <w:left w:val="nil"/>
              <w:bottom w:val="single" w:color="auto" w:sz="4" w:space="0"/>
              <w:right w:val="single" w:color="auto" w:sz="4" w:space="0"/>
            </w:tcBorders>
            <w:noWrap/>
            <w:vAlign w:val="center"/>
            <w:hideMark/>
          </w:tcPr>
          <w:p w:rsidRPr="00D11C96" w:rsidR="00BE1238" w:rsidRDefault="00BE1238" w14:paraId="508D5C99" w14:textId="77777777">
            <w:pPr>
              <w:jc w:val="center"/>
              <w:rPr>
                <w:rFonts w:ascii="Garamond" w:hAnsi="Garamond"/>
                <w:color w:val="000000"/>
                <w:sz w:val="20"/>
                <w:szCs w:val="20"/>
              </w:rPr>
            </w:pPr>
            <w:r w:rsidRPr="00D11C96">
              <w:rPr>
                <w:rFonts w:ascii="Garamond" w:hAnsi="Garamond"/>
                <w:color w:val="000000"/>
                <w:sz w:val="20"/>
                <w:szCs w:val="20"/>
              </w:rPr>
              <w:t>5335.854482</w:t>
            </w:r>
          </w:p>
        </w:tc>
        <w:tc>
          <w:tcPr>
            <w:tcW w:w="960" w:type="dxa"/>
            <w:tcBorders>
              <w:top w:val="nil"/>
              <w:left w:val="nil"/>
              <w:bottom w:val="single" w:color="auto" w:sz="4" w:space="0"/>
              <w:right w:val="single" w:color="auto" w:sz="4" w:space="0"/>
            </w:tcBorders>
            <w:noWrap/>
            <w:vAlign w:val="center"/>
            <w:hideMark/>
          </w:tcPr>
          <w:p w:rsidRPr="00D11C96" w:rsidR="00BE1238" w:rsidRDefault="00BE1238" w14:paraId="5A264A6C" w14:textId="77777777">
            <w:pPr>
              <w:jc w:val="center"/>
              <w:rPr>
                <w:rFonts w:ascii="Garamond" w:hAnsi="Garamond"/>
                <w:color w:val="000000"/>
                <w:sz w:val="20"/>
                <w:szCs w:val="20"/>
              </w:rPr>
            </w:pPr>
            <w:r w:rsidRPr="00D11C96">
              <w:rPr>
                <w:rFonts w:ascii="Garamond" w:hAnsi="Garamond"/>
                <w:color w:val="000000"/>
                <w:sz w:val="20"/>
                <w:szCs w:val="20"/>
              </w:rPr>
              <w:t>30.39%</w:t>
            </w:r>
          </w:p>
        </w:tc>
      </w:tr>
    </w:tbl>
    <w:p w:rsidRPr="00D11C96" w:rsidR="00BE1238" w:rsidP="00BE1238" w:rsidRDefault="00BE1238" w14:paraId="09CEA51C" w14:textId="77777777">
      <w:pPr>
        <w:jc w:val="center"/>
        <w:rPr>
          <w:rFonts w:ascii="Garamond" w:hAnsi="Garamond" w:cs="Arial"/>
          <w:sz w:val="20"/>
          <w:szCs w:val="20"/>
        </w:rPr>
      </w:pPr>
      <w:r w:rsidRPr="00D11C96">
        <w:rPr>
          <w:rFonts w:ascii="Garamond" w:hAnsi="Garamond" w:cs="Arial"/>
          <w:sz w:val="20"/>
          <w:szCs w:val="20"/>
        </w:rPr>
        <w:t>Fuente: Elaboración propia con datos del IGAC (2002 y 2018)</w:t>
      </w:r>
    </w:p>
    <w:p w:rsidR="00A45750" w:rsidP="00A45750" w:rsidRDefault="00A45750" w14:paraId="1FFDC926" w14:textId="00EEC33A">
      <w:pPr>
        <w:jc w:val="both"/>
        <w:rPr>
          <w:rFonts w:ascii="Garamond" w:hAnsi="Garamond"/>
          <w:sz w:val="22"/>
          <w:szCs w:val="22"/>
        </w:rPr>
      </w:pPr>
      <w:r w:rsidRPr="00D11C96">
        <w:rPr>
          <w:rFonts w:ascii="Garamond" w:hAnsi="Garamond"/>
          <w:sz w:val="22"/>
          <w:szCs w:val="22"/>
        </w:rPr>
        <w:t xml:space="preserve">De acuerdo con comunicación del IGAC (2024), “(...) el problema se agrava si se tiene en cuenta que, por lo general, para construir se eliminan los horizontes superficiales (horizontes A o capa vegetal), que son los que contienen los materiales húmicos. Estos materiales húmicos, al ser aireados, removidos y llevados a otros lugares, sufren procesos de mineralización y alteración, desprendiendo altas cantidades de CO2, aumentando su concentración atmosférica y el calentamiento. De acuerdo con comunicación del IDEAM (2024), “El crecimiento y avance de la frontera urbana, de las zonas de desarrollo socioeconómico mediante la implementación de infraestructuras, los procesos de parcelación y de conurbación en áreas metropolitanas como en la región Bogotá </w:t>
      </w:r>
      <w:r w:rsidRPr="00D11C96" w:rsidR="005200DF">
        <w:rPr>
          <w:rFonts w:ascii="Garamond" w:hAnsi="Garamond"/>
          <w:sz w:val="22"/>
          <w:szCs w:val="22"/>
        </w:rPr>
        <w:t>–</w:t>
      </w:r>
      <w:r w:rsidRPr="00D11C96">
        <w:rPr>
          <w:rFonts w:ascii="Garamond" w:hAnsi="Garamond"/>
          <w:sz w:val="22"/>
          <w:szCs w:val="22"/>
        </w:rPr>
        <w:t xml:space="preserve"> Sabana</w:t>
      </w:r>
      <w:r w:rsidRPr="00D11C96" w:rsidR="005200DF">
        <w:rPr>
          <w:rFonts w:ascii="Garamond" w:hAnsi="Garamond"/>
          <w:sz w:val="22"/>
          <w:szCs w:val="22"/>
        </w:rPr>
        <w:t xml:space="preserve"> que</w:t>
      </w:r>
      <w:r w:rsidRPr="00D11C96">
        <w:rPr>
          <w:rFonts w:ascii="Garamond" w:hAnsi="Garamond"/>
          <w:sz w:val="22"/>
          <w:szCs w:val="22"/>
        </w:rPr>
        <w:t xml:space="preserve"> han incrementado los procesos de degradación de suelos por sellamiento en Colombia”</w:t>
      </w:r>
      <w:r w:rsidRPr="00D11C96" w:rsidR="00E62E1E">
        <w:rPr>
          <w:rFonts w:ascii="Garamond" w:hAnsi="Garamond"/>
          <w:sz w:val="22"/>
          <w:szCs w:val="22"/>
        </w:rPr>
        <w:t>, como a continuación se ilustra:</w:t>
      </w:r>
    </w:p>
    <w:p w:rsidRPr="00D11C96" w:rsidR="00DF46F2" w:rsidP="00DF46F2" w:rsidRDefault="00DF46F2" w14:paraId="626AA18E" w14:textId="4F46BA84">
      <w:pPr>
        <w:pStyle w:val="Caption"/>
        <w:jc w:val="center"/>
      </w:pPr>
      <w:bookmarkStart w:name="_Toc211545188" w:id="13"/>
      <w:r w:rsidRPr="00D11C96">
        <w:t xml:space="preserve">Ilustración </w:t>
      </w:r>
      <w:r w:rsidRPr="00D11C96">
        <w:fldChar w:fldCharType="begin"/>
      </w:r>
      <w:r w:rsidRPr="00D11C96">
        <w:instrText xml:space="preserve"> SEQ Ilustración \* ARABIC </w:instrText>
      </w:r>
      <w:r w:rsidRPr="00D11C96">
        <w:fldChar w:fldCharType="separate"/>
      </w:r>
      <w:r w:rsidR="00FF34DC">
        <w:rPr>
          <w:noProof/>
        </w:rPr>
        <w:t>3</w:t>
      </w:r>
      <w:r w:rsidRPr="00D11C96">
        <w:fldChar w:fldCharType="end"/>
      </w:r>
      <w:r w:rsidRPr="00D11C96">
        <w:t>. Incremento de áreas de territorios artificializados 2002 - 2018.</w:t>
      </w:r>
      <w:bookmarkEnd w:id="13"/>
    </w:p>
    <w:p w:rsidRPr="00D11C96" w:rsidR="00DF46F2" w:rsidP="00DF46F2" w:rsidRDefault="00DF46F2" w14:paraId="2FC4B1E8" w14:textId="77777777">
      <w:pPr>
        <w:keepNext/>
        <w:jc w:val="center"/>
        <w:rPr>
          <w:rFonts w:ascii="Garamond" w:hAnsi="Garamond"/>
        </w:rPr>
      </w:pPr>
      <w:r w:rsidRPr="00D11C96">
        <w:rPr>
          <w:rFonts w:ascii="Garamond" w:hAnsi="Garamond" w:cs="Arial"/>
          <w:noProof/>
        </w:rPr>
        <w:drawing>
          <wp:inline distT="0" distB="0" distL="0" distR="0" wp14:anchorId="5401F507" wp14:editId="0988B7DA">
            <wp:extent cx="2350418" cy="3042139"/>
            <wp:effectExtent l="0" t="0" r="0" b="6350"/>
            <wp:docPr id="56824626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1345" cy="3056282"/>
                    </a:xfrm>
                    <a:prstGeom prst="rect">
                      <a:avLst/>
                    </a:prstGeom>
                    <a:noFill/>
                    <a:ln>
                      <a:noFill/>
                    </a:ln>
                  </pic:spPr>
                </pic:pic>
              </a:graphicData>
            </a:graphic>
          </wp:inline>
        </w:drawing>
      </w:r>
    </w:p>
    <w:p w:rsidRPr="00D11C96" w:rsidR="00DF46F2" w:rsidP="00DF46F2" w:rsidRDefault="00DF46F2" w14:paraId="27E9EBA6" w14:textId="77777777">
      <w:pPr>
        <w:jc w:val="center"/>
        <w:rPr>
          <w:rFonts w:ascii="Garamond" w:hAnsi="Garamond" w:cs="Arial"/>
          <w:sz w:val="20"/>
          <w:szCs w:val="20"/>
        </w:rPr>
      </w:pPr>
      <w:r w:rsidRPr="00D11C96">
        <w:rPr>
          <w:rFonts w:ascii="Garamond" w:hAnsi="Garamond" w:cs="Arial"/>
          <w:sz w:val="20"/>
          <w:szCs w:val="20"/>
        </w:rPr>
        <w:t>Fuente: Elaboración propia con datos del IGAC (2002) e IGAC (2018).</w:t>
      </w:r>
    </w:p>
    <w:p w:rsidRPr="00D11C96" w:rsidR="00D343F6" w:rsidP="00B91775" w:rsidRDefault="00273A85" w14:paraId="6F87E257" w14:textId="79CDC4F9">
      <w:pPr>
        <w:jc w:val="both"/>
        <w:rPr>
          <w:rFonts w:ascii="Garamond" w:hAnsi="Garamond"/>
          <w:b/>
          <w:bCs/>
          <w:sz w:val="22"/>
          <w:szCs w:val="22"/>
        </w:rPr>
      </w:pPr>
      <w:r w:rsidRPr="00D11C96">
        <w:rPr>
          <w:rFonts w:ascii="Garamond" w:hAnsi="Garamond"/>
          <w:b/>
          <w:bCs/>
          <w:sz w:val="22"/>
          <w:szCs w:val="22"/>
        </w:rPr>
        <w:t>Turismo</w:t>
      </w:r>
      <w:r w:rsidRPr="00D11C96" w:rsidR="001B7199">
        <w:rPr>
          <w:rFonts w:ascii="Garamond" w:hAnsi="Garamond"/>
          <w:b/>
          <w:bCs/>
          <w:sz w:val="22"/>
          <w:szCs w:val="22"/>
        </w:rPr>
        <w:t xml:space="preserve"> </w:t>
      </w:r>
    </w:p>
    <w:p w:rsidRPr="00D11C96" w:rsidR="00012A54" w:rsidP="008844E0" w:rsidRDefault="00012A54" w14:paraId="03F2149E" w14:textId="5C1B3C56">
      <w:pPr>
        <w:jc w:val="both"/>
        <w:rPr>
          <w:rFonts w:ascii="Garamond" w:hAnsi="Garamond"/>
          <w:sz w:val="22"/>
          <w:szCs w:val="22"/>
        </w:rPr>
      </w:pPr>
      <w:r w:rsidRPr="00D11C96">
        <w:rPr>
          <w:rFonts w:ascii="Garamond" w:hAnsi="Garamond"/>
          <w:sz w:val="22"/>
          <w:szCs w:val="22"/>
        </w:rPr>
        <w:t xml:space="preserve">Cundinamarca cuenta con una amplia diversidad ambiental, ecosistémica, biótica y faunística, incluyendo uno de los principales páramos del país y la fábrica de agua para la población de Bogotá. Las dinámicas regionales que envuelven la Región se enmarcan en una estructura de interdependencia y complementación en diversas dimensiones del desarrollo, entre estas, el desarrollo económico, que aborda el turismo como sector potencial para el fortalecimiento de la Región. </w:t>
      </w:r>
    </w:p>
    <w:p w:rsidRPr="00D11C96" w:rsidR="00267AC0" w:rsidP="008844E0" w:rsidRDefault="00A604D4" w14:paraId="1F1A3582" w14:textId="1E3F782D">
      <w:pPr>
        <w:jc w:val="both"/>
        <w:rPr>
          <w:rFonts w:ascii="Garamond" w:hAnsi="Garamond"/>
          <w:sz w:val="22"/>
          <w:szCs w:val="22"/>
        </w:rPr>
      </w:pPr>
      <w:r w:rsidRPr="00D11C96">
        <w:rPr>
          <w:rFonts w:ascii="Garamond" w:hAnsi="Garamond"/>
          <w:sz w:val="22"/>
          <w:szCs w:val="22"/>
        </w:rPr>
        <w:t>El departamento de Cundinamarca, mediante la visión 2036 del plan departamental de desarrollo vigente, define que el turismo será una de las industrias más potentes del departamento sustentado principalmente en “su potencial paisajístico y el patrimonio cultural de la región</w:t>
      </w:r>
      <w:r w:rsidRPr="00D11C96" w:rsidR="00107ED7">
        <w:rPr>
          <w:rFonts w:ascii="Garamond" w:hAnsi="Garamond"/>
          <w:sz w:val="22"/>
          <w:szCs w:val="22"/>
        </w:rPr>
        <w:t xml:space="preserve"> (Gobernación de Cundinamarca, 2024)</w:t>
      </w:r>
      <w:r w:rsidRPr="00D11C96" w:rsidR="008844E0">
        <w:rPr>
          <w:rFonts w:ascii="Garamond" w:hAnsi="Garamond"/>
          <w:sz w:val="22"/>
          <w:szCs w:val="22"/>
        </w:rPr>
        <w:t>, en ese sentido, la visión departamental se configura como un “d</w:t>
      </w:r>
      <w:r w:rsidRPr="00D11C96" w:rsidR="00013911">
        <w:rPr>
          <w:rFonts w:ascii="Garamond" w:hAnsi="Garamond"/>
          <w:sz w:val="22"/>
          <w:szCs w:val="22"/>
        </w:rPr>
        <w:t xml:space="preserve">estino con identidad </w:t>
      </w:r>
      <w:r w:rsidRPr="00D11C96" w:rsidR="008844E0">
        <w:rPr>
          <w:rFonts w:ascii="Garamond" w:hAnsi="Garamond"/>
          <w:sz w:val="22"/>
          <w:szCs w:val="22"/>
        </w:rPr>
        <w:t>que</w:t>
      </w:r>
      <w:r w:rsidRPr="00D11C96" w:rsidR="00013911">
        <w:rPr>
          <w:rFonts w:ascii="Garamond" w:hAnsi="Garamond"/>
          <w:sz w:val="22"/>
          <w:szCs w:val="22"/>
        </w:rPr>
        <w:t xml:space="preserve"> lugares con una riqueza natural invaluable y con espacios para disfrutar la conexión con la biodiversidad y la actividad económica que la caracteriza</w:t>
      </w:r>
      <w:r w:rsidRPr="00D11C96" w:rsidR="00267AC0">
        <w:rPr>
          <w:rFonts w:ascii="Garamond" w:hAnsi="Garamond"/>
          <w:sz w:val="22"/>
          <w:szCs w:val="22"/>
        </w:rPr>
        <w:t>, buscando</w:t>
      </w:r>
      <w:r w:rsidRPr="00D11C96" w:rsidR="00013911">
        <w:rPr>
          <w:rFonts w:ascii="Garamond" w:hAnsi="Garamond"/>
          <w:sz w:val="22"/>
          <w:szCs w:val="22"/>
        </w:rPr>
        <w:t xml:space="preserve"> potencializar aquellos destinos que hoy ya están identificados; promover el desarrollo sostenible de aquellos que requieren de mayor inversión, asegurando así un turismo responsable, equitativo y competitivo que beneficie tanto a las comunidades locales como al medio ambiente</w:t>
      </w:r>
      <w:r w:rsidRPr="00D11C96" w:rsidR="00267AC0">
        <w:rPr>
          <w:rFonts w:ascii="Garamond" w:hAnsi="Garamond"/>
          <w:sz w:val="22"/>
          <w:szCs w:val="22"/>
        </w:rPr>
        <w:t>”</w:t>
      </w:r>
      <w:r w:rsidRPr="00D11C96" w:rsidR="005817C9">
        <w:rPr>
          <w:rFonts w:ascii="Garamond" w:hAnsi="Garamond"/>
          <w:sz w:val="22"/>
          <w:szCs w:val="22"/>
        </w:rPr>
        <w:t xml:space="preserve"> (Gobernación de Cundinamarca, 2024).</w:t>
      </w:r>
    </w:p>
    <w:p w:rsidRPr="00D11C96" w:rsidR="004A72C7" w:rsidP="004A72C7" w:rsidRDefault="002E4B6F" w14:paraId="04FA3BC6" w14:textId="6BC31636">
      <w:pPr>
        <w:jc w:val="both"/>
        <w:rPr>
          <w:rFonts w:ascii="Garamond" w:hAnsi="Garamond"/>
          <w:sz w:val="22"/>
          <w:szCs w:val="22"/>
        </w:rPr>
      </w:pPr>
      <w:r w:rsidRPr="00D11C96">
        <w:rPr>
          <w:rFonts w:ascii="Garamond" w:hAnsi="Garamond"/>
          <w:sz w:val="22"/>
          <w:szCs w:val="22"/>
        </w:rPr>
        <w:t>En ese sentido, para operativizar la inversión, el departamento le apuesta a incluir en el fortalec</w:t>
      </w:r>
      <w:r w:rsidRPr="00D11C96" w:rsidR="001A0F01">
        <w:rPr>
          <w:rFonts w:ascii="Garamond" w:hAnsi="Garamond"/>
          <w:sz w:val="22"/>
          <w:szCs w:val="22"/>
        </w:rPr>
        <w:t>imiento al turismo responsable, la implementación de S</w:t>
      </w:r>
      <w:r w:rsidRPr="00D11C96" w:rsidR="00013911">
        <w:rPr>
          <w:rFonts w:ascii="Garamond" w:hAnsi="Garamond"/>
          <w:sz w:val="22"/>
          <w:szCs w:val="22"/>
        </w:rPr>
        <w:t>oluciones basadas en la naturaleza</w:t>
      </w:r>
      <w:r w:rsidRPr="00D11C96" w:rsidR="004A72C7">
        <w:rPr>
          <w:rFonts w:ascii="Garamond" w:hAnsi="Garamond"/>
          <w:sz w:val="22"/>
          <w:szCs w:val="22"/>
        </w:rPr>
        <w:t xml:space="preserve">, procesos de transferencia de conocimiento y tecnología en áreas claves como: energías renovables, biocombustibles, gases renovables, negocios verdes, </w:t>
      </w:r>
      <w:proofErr w:type="spellStart"/>
      <w:r w:rsidRPr="00D11C96" w:rsidR="004A72C7">
        <w:rPr>
          <w:rFonts w:ascii="Garamond" w:hAnsi="Garamond"/>
          <w:sz w:val="22"/>
          <w:szCs w:val="22"/>
        </w:rPr>
        <w:t>bioproductos</w:t>
      </w:r>
      <w:proofErr w:type="spellEnd"/>
      <w:r w:rsidRPr="00D11C96" w:rsidR="004A72C7">
        <w:rPr>
          <w:rFonts w:ascii="Garamond" w:hAnsi="Garamond"/>
          <w:sz w:val="22"/>
          <w:szCs w:val="22"/>
        </w:rPr>
        <w:t xml:space="preserve">, y turismo inteligente, verde y sustentable, </w:t>
      </w:r>
      <w:r w:rsidRPr="00D11C96" w:rsidR="00340F68">
        <w:rPr>
          <w:rFonts w:ascii="Garamond" w:hAnsi="Garamond"/>
          <w:sz w:val="22"/>
          <w:szCs w:val="22"/>
        </w:rPr>
        <w:t>lo anterior,</w:t>
      </w:r>
      <w:r w:rsidRPr="00D11C96" w:rsidR="00013911">
        <w:rPr>
          <w:rFonts w:ascii="Garamond" w:hAnsi="Garamond"/>
          <w:sz w:val="22"/>
          <w:szCs w:val="22"/>
        </w:rPr>
        <w:t xml:space="preserve"> </w:t>
      </w:r>
      <w:r w:rsidRPr="00D11C96" w:rsidR="001A0F01">
        <w:rPr>
          <w:rFonts w:ascii="Garamond" w:hAnsi="Garamond"/>
          <w:sz w:val="22"/>
          <w:szCs w:val="22"/>
        </w:rPr>
        <w:t>p</w:t>
      </w:r>
      <w:r w:rsidRPr="00D11C96" w:rsidR="00013911">
        <w:rPr>
          <w:rFonts w:ascii="Garamond" w:hAnsi="Garamond"/>
          <w:sz w:val="22"/>
          <w:szCs w:val="22"/>
        </w:rPr>
        <w:t xml:space="preserve">ara impulsar el desarrollo sostenible </w:t>
      </w:r>
      <w:r w:rsidRPr="00D11C96" w:rsidR="00340F68">
        <w:rPr>
          <w:rFonts w:ascii="Garamond" w:hAnsi="Garamond"/>
          <w:sz w:val="22"/>
          <w:szCs w:val="22"/>
        </w:rPr>
        <w:t>entendiendo l</w:t>
      </w:r>
      <w:r w:rsidRPr="00D11C96" w:rsidR="00664C79">
        <w:rPr>
          <w:rFonts w:ascii="Garamond" w:hAnsi="Garamond"/>
          <w:sz w:val="22"/>
          <w:szCs w:val="22"/>
        </w:rPr>
        <w:t>os</w:t>
      </w:r>
      <w:r w:rsidRPr="00D11C96" w:rsidR="00013911">
        <w:rPr>
          <w:rFonts w:ascii="Garamond" w:hAnsi="Garamond"/>
          <w:sz w:val="22"/>
          <w:szCs w:val="22"/>
        </w:rPr>
        <w:t xml:space="preserve"> recursos naturales </w:t>
      </w:r>
      <w:r w:rsidRPr="00D11C96" w:rsidR="00664C79">
        <w:rPr>
          <w:rFonts w:ascii="Garamond" w:hAnsi="Garamond"/>
          <w:sz w:val="22"/>
          <w:szCs w:val="22"/>
        </w:rPr>
        <w:t>como</w:t>
      </w:r>
      <w:r w:rsidRPr="00D11C96" w:rsidR="00013911">
        <w:rPr>
          <w:rFonts w:ascii="Garamond" w:hAnsi="Garamond"/>
          <w:sz w:val="22"/>
          <w:szCs w:val="22"/>
        </w:rPr>
        <w:t xml:space="preserve"> materia prima y </w:t>
      </w:r>
      <w:r w:rsidRPr="00D11C96" w:rsidR="00664C79">
        <w:rPr>
          <w:rFonts w:ascii="Garamond" w:hAnsi="Garamond"/>
          <w:sz w:val="22"/>
          <w:szCs w:val="22"/>
        </w:rPr>
        <w:t>su aprovechamiento</w:t>
      </w:r>
      <w:r w:rsidRPr="00D11C96" w:rsidR="00013911">
        <w:rPr>
          <w:rFonts w:ascii="Garamond" w:hAnsi="Garamond"/>
          <w:sz w:val="22"/>
          <w:szCs w:val="22"/>
        </w:rPr>
        <w:t xml:space="preserve"> responsable, sin que se comprometa su disponibilidad para el futuro</w:t>
      </w:r>
      <w:r w:rsidRPr="00D11C96" w:rsidR="001A0F01">
        <w:rPr>
          <w:rFonts w:ascii="Garamond" w:hAnsi="Garamond"/>
          <w:sz w:val="22"/>
          <w:szCs w:val="22"/>
        </w:rPr>
        <w:t xml:space="preserve">, buscando </w:t>
      </w:r>
      <w:r w:rsidRPr="00D11C96" w:rsidR="00DB6FA6">
        <w:rPr>
          <w:rFonts w:ascii="Garamond" w:hAnsi="Garamond"/>
          <w:sz w:val="22"/>
          <w:szCs w:val="22"/>
        </w:rPr>
        <w:t>enfoc</w:t>
      </w:r>
      <w:r w:rsidRPr="00D11C96" w:rsidR="001A0F01">
        <w:rPr>
          <w:rFonts w:ascii="Garamond" w:hAnsi="Garamond"/>
          <w:sz w:val="22"/>
          <w:szCs w:val="22"/>
        </w:rPr>
        <w:t xml:space="preserve">ar </w:t>
      </w:r>
      <w:r w:rsidRPr="00D11C96" w:rsidR="00DB6FA6">
        <w:rPr>
          <w:rFonts w:ascii="Garamond" w:hAnsi="Garamond"/>
          <w:sz w:val="22"/>
          <w:szCs w:val="22"/>
        </w:rPr>
        <w:t xml:space="preserve">la sostenibilidad, el respeto por la biodiversidad y la cultura local </w:t>
      </w:r>
      <w:r w:rsidRPr="00D11C96" w:rsidR="001A0F01">
        <w:rPr>
          <w:rFonts w:ascii="Garamond" w:hAnsi="Garamond"/>
          <w:sz w:val="22"/>
          <w:szCs w:val="22"/>
        </w:rPr>
        <w:t>bajo</w:t>
      </w:r>
      <w:r w:rsidRPr="00D11C96" w:rsidR="00DB6FA6">
        <w:rPr>
          <w:rFonts w:ascii="Garamond" w:hAnsi="Garamond"/>
          <w:sz w:val="22"/>
          <w:szCs w:val="22"/>
        </w:rPr>
        <w:t xml:space="preserve"> una estrategia para el desarrollo de una región sustentable que vela por el equilibrio ambiental, social y económico en el transcurso del tiempo.</w:t>
      </w:r>
      <w:r w:rsidRPr="00D11C96" w:rsidR="004A72C7">
        <w:rPr>
          <w:rFonts w:ascii="Garamond" w:hAnsi="Garamond"/>
          <w:sz w:val="22"/>
          <w:szCs w:val="22"/>
        </w:rPr>
        <w:t xml:space="preserve"> (Gobernación de Cundinamarca, 2024).</w:t>
      </w:r>
    </w:p>
    <w:p w:rsidRPr="00D11C96" w:rsidR="243BA3AA" w:rsidP="36CF9951" w:rsidRDefault="00012A54" w14:paraId="6ACB9E01" w14:textId="1D92E664">
      <w:pPr>
        <w:jc w:val="both"/>
      </w:pPr>
      <w:r w:rsidRPr="00D11C96">
        <w:rPr>
          <w:rFonts w:ascii="Garamond" w:hAnsi="Garamond" w:eastAsia="Garamond" w:cs="Garamond"/>
          <w:sz w:val="22"/>
          <w:szCs w:val="22"/>
        </w:rPr>
        <w:t>En ese sentido, esta estrategia debería impactar a lo diferentes p</w:t>
      </w:r>
      <w:r w:rsidRPr="00D11C96" w:rsidR="243BA3AA">
        <w:rPr>
          <w:rFonts w:ascii="Garamond" w:hAnsi="Garamond" w:eastAsia="Garamond" w:cs="Garamond"/>
          <w:sz w:val="22"/>
          <w:szCs w:val="22"/>
        </w:rPr>
        <w:t xml:space="preserve">restadores de </w:t>
      </w:r>
      <w:r w:rsidRPr="00D11C96">
        <w:rPr>
          <w:rFonts w:ascii="Garamond" w:hAnsi="Garamond" w:eastAsia="Garamond" w:cs="Garamond"/>
          <w:sz w:val="22"/>
          <w:szCs w:val="22"/>
        </w:rPr>
        <w:t>s</w:t>
      </w:r>
      <w:r w:rsidRPr="00D11C96" w:rsidR="243BA3AA">
        <w:rPr>
          <w:rFonts w:ascii="Garamond" w:hAnsi="Garamond" w:eastAsia="Garamond" w:cs="Garamond"/>
          <w:sz w:val="22"/>
          <w:szCs w:val="22"/>
        </w:rPr>
        <w:t xml:space="preserve">ervicios </w:t>
      </w:r>
      <w:r w:rsidRPr="00D11C96">
        <w:rPr>
          <w:rFonts w:ascii="Garamond" w:hAnsi="Garamond" w:eastAsia="Garamond" w:cs="Garamond"/>
          <w:sz w:val="22"/>
          <w:szCs w:val="22"/>
        </w:rPr>
        <w:t>t</w:t>
      </w:r>
      <w:r w:rsidRPr="00D11C96" w:rsidR="243BA3AA">
        <w:rPr>
          <w:rFonts w:ascii="Garamond" w:hAnsi="Garamond" w:eastAsia="Garamond" w:cs="Garamond"/>
          <w:sz w:val="22"/>
          <w:szCs w:val="22"/>
        </w:rPr>
        <w:t xml:space="preserve">urísticos en Cundinamarca </w:t>
      </w:r>
      <w:r w:rsidRPr="00D11C96">
        <w:rPr>
          <w:rFonts w:ascii="Garamond" w:hAnsi="Garamond" w:eastAsia="Garamond" w:cs="Garamond"/>
          <w:sz w:val="22"/>
          <w:szCs w:val="22"/>
        </w:rPr>
        <w:t>y que hacen parte de los eslabones comerciales para la prestación de este servicio. Según el</w:t>
      </w:r>
      <w:r w:rsidRPr="00D11C96" w:rsidR="243BA3AA">
        <w:rPr>
          <w:rFonts w:ascii="Garamond" w:hAnsi="Garamond" w:eastAsia="Garamond" w:cs="Garamond"/>
          <w:sz w:val="22"/>
          <w:szCs w:val="22"/>
        </w:rPr>
        <w:t xml:space="preserve"> Registro Nacional de Turismo</w:t>
      </w:r>
      <w:r w:rsidRPr="00D11C96">
        <w:rPr>
          <w:rFonts w:ascii="Garamond" w:hAnsi="Garamond" w:eastAsia="Garamond" w:cs="Garamond"/>
          <w:sz w:val="22"/>
          <w:szCs w:val="22"/>
        </w:rPr>
        <w:t>, e</w:t>
      </w:r>
      <w:r w:rsidRPr="00D11C96" w:rsidR="243BA3AA">
        <w:rPr>
          <w:rFonts w:ascii="Garamond" w:hAnsi="Garamond" w:eastAsia="Garamond" w:cs="Garamond"/>
          <w:sz w:val="22"/>
          <w:szCs w:val="22"/>
        </w:rPr>
        <w:t xml:space="preserve">n el Departamento de Cundinamarca actualmente hay 7784 prestadores de servicios turísticos activos; la tabla </w:t>
      </w:r>
      <w:r w:rsidRPr="00D11C96" w:rsidR="00471FF0">
        <w:rPr>
          <w:rFonts w:ascii="Garamond" w:hAnsi="Garamond" w:eastAsia="Garamond" w:cs="Garamond"/>
          <w:sz w:val="22"/>
          <w:szCs w:val="22"/>
        </w:rPr>
        <w:t xml:space="preserve">a </w:t>
      </w:r>
      <w:r w:rsidRPr="00D11C96">
        <w:rPr>
          <w:rFonts w:ascii="Garamond" w:hAnsi="Garamond" w:eastAsia="Garamond" w:cs="Garamond"/>
          <w:sz w:val="22"/>
          <w:szCs w:val="22"/>
        </w:rPr>
        <w:t>continuación</w:t>
      </w:r>
      <w:r w:rsidRPr="00D11C96" w:rsidR="00471FF0">
        <w:rPr>
          <w:rFonts w:ascii="Garamond" w:hAnsi="Garamond" w:eastAsia="Garamond" w:cs="Garamond"/>
          <w:sz w:val="22"/>
          <w:szCs w:val="22"/>
        </w:rPr>
        <w:t xml:space="preserve"> </w:t>
      </w:r>
      <w:r w:rsidRPr="00D11C96" w:rsidR="243BA3AA">
        <w:rPr>
          <w:rFonts w:ascii="Garamond" w:hAnsi="Garamond" w:eastAsia="Garamond" w:cs="Garamond"/>
          <w:sz w:val="22"/>
          <w:szCs w:val="22"/>
        </w:rPr>
        <w:t>detalla el total y porcentaje por categoría:</w:t>
      </w:r>
    </w:p>
    <w:p w:rsidR="00E66113" w:rsidP="00E66113" w:rsidRDefault="00E66113" w14:paraId="191AC43F" w14:textId="366ED8BF">
      <w:pPr>
        <w:pStyle w:val="Caption"/>
        <w:keepNext/>
        <w:jc w:val="center"/>
      </w:pPr>
      <w:r>
        <w:t xml:space="preserve">Tabla </w:t>
      </w:r>
      <w:r>
        <w:fldChar w:fldCharType="begin"/>
      </w:r>
      <w:r>
        <w:instrText xml:space="preserve"> SEQ Tabla \* ARABIC </w:instrText>
      </w:r>
      <w:r>
        <w:fldChar w:fldCharType="separate"/>
      </w:r>
      <w:r w:rsidR="006E2525">
        <w:rPr>
          <w:noProof/>
        </w:rPr>
        <w:t>10</w:t>
      </w:r>
      <w:r>
        <w:fldChar w:fldCharType="end"/>
      </w:r>
      <w:r>
        <w:t xml:space="preserve">. </w:t>
      </w:r>
      <w:r w:rsidRPr="005A39D7">
        <w:t>Categoría de Prestadores de Servicios Turísticos</w:t>
      </w:r>
      <w:r>
        <w:t xml:space="preserve"> en Cundinamarca.</w:t>
      </w:r>
    </w:p>
    <w:tbl>
      <w:tblPr>
        <w:tblW w:w="5000" w:type="pct"/>
        <w:tblLook w:val="06A0" w:firstRow="1" w:lastRow="0" w:firstColumn="1" w:lastColumn="0" w:noHBand="1" w:noVBand="1"/>
      </w:tblPr>
      <w:tblGrid>
        <w:gridCol w:w="4944"/>
        <w:gridCol w:w="1891"/>
        <w:gridCol w:w="2515"/>
      </w:tblGrid>
      <w:tr w:rsidRPr="00D11C96" w:rsidR="00471FF0" w:rsidTr="000D018F" w14:paraId="3B37778A" w14:textId="77777777">
        <w:trPr>
          <w:trHeight w:val="465"/>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80" w:type="dxa"/>
            </w:tcMar>
            <w:vAlign w:val="center"/>
          </w:tcPr>
          <w:p w:rsidRPr="00D11C96" w:rsidR="36CF9951" w:rsidP="00591C92" w:rsidRDefault="36CF9951" w14:paraId="5EDCDCD3" w14:textId="43C18B91">
            <w:pPr>
              <w:spacing w:after="0"/>
              <w:jc w:val="center"/>
              <w:rPr>
                <w:rFonts w:ascii="Garamond" w:hAnsi="Garamond"/>
              </w:rPr>
            </w:pPr>
            <w:r w:rsidRPr="00D11C96">
              <w:rPr>
                <w:rFonts w:ascii="Garamond" w:hAnsi="Garamond" w:eastAsia="Arial" w:cs="Arial"/>
                <w:b/>
                <w:bCs/>
              </w:rPr>
              <w:t>Categoría de Prestadores de Servicios Turísticos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2C2BD06" w14:textId="333F6B64">
            <w:pPr>
              <w:spacing w:after="0"/>
              <w:jc w:val="center"/>
              <w:rPr>
                <w:rFonts w:ascii="Garamond" w:hAnsi="Garamond"/>
              </w:rPr>
            </w:pPr>
            <w:r w:rsidRPr="00D11C96">
              <w:rPr>
                <w:rFonts w:ascii="Garamond" w:hAnsi="Garamond" w:eastAsia="Arial" w:cs="Arial"/>
                <w:b/>
                <w:bCs/>
              </w:rPr>
              <w:t>No. Prestadores</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3DDB6D9" w14:textId="131A0119">
            <w:pPr>
              <w:spacing w:after="0"/>
              <w:jc w:val="center"/>
              <w:rPr>
                <w:rFonts w:ascii="Garamond" w:hAnsi="Garamond"/>
              </w:rPr>
            </w:pPr>
            <w:r w:rsidRPr="00D11C96">
              <w:rPr>
                <w:rFonts w:ascii="Garamond" w:hAnsi="Garamond" w:eastAsia="Arial" w:cs="Arial"/>
                <w:b/>
                <w:bCs/>
              </w:rPr>
              <w:t>Participación</w:t>
            </w:r>
          </w:p>
        </w:tc>
      </w:tr>
      <w:tr w:rsidRPr="00D11C96" w:rsidR="00471FF0" w:rsidTr="000D018F" w14:paraId="33FF55BA"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29D0A032" w14:textId="782F7DF5">
            <w:pPr>
              <w:spacing w:after="0"/>
              <w:jc w:val="center"/>
              <w:rPr>
                <w:rFonts w:ascii="Garamond" w:hAnsi="Garamond"/>
              </w:rPr>
            </w:pPr>
            <w:r w:rsidRPr="00D11C96">
              <w:rPr>
                <w:rFonts w:ascii="Garamond" w:hAnsi="Garamond"/>
              </w:rPr>
              <w:t>Viviendas Turísticas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1B49BAB" w14:textId="4742C603">
            <w:pPr>
              <w:spacing w:after="0"/>
              <w:jc w:val="center"/>
              <w:rPr>
                <w:rFonts w:ascii="Garamond" w:hAnsi="Garamond"/>
              </w:rPr>
            </w:pPr>
            <w:r w:rsidRPr="00D11C96">
              <w:rPr>
                <w:rFonts w:ascii="Garamond" w:hAnsi="Garamond"/>
              </w:rPr>
              <w:t>5.081</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66B1526" w14:textId="7F979D1D">
            <w:pPr>
              <w:spacing w:after="0"/>
              <w:jc w:val="center"/>
              <w:rPr>
                <w:rFonts w:ascii="Garamond" w:hAnsi="Garamond"/>
              </w:rPr>
            </w:pPr>
            <w:r w:rsidRPr="00D11C96">
              <w:rPr>
                <w:rFonts w:ascii="Garamond" w:hAnsi="Garamond"/>
              </w:rPr>
              <w:t>65.27%</w:t>
            </w:r>
          </w:p>
        </w:tc>
      </w:tr>
      <w:tr w:rsidRPr="00D11C96" w:rsidR="00471FF0" w:rsidTr="000D018F" w14:paraId="538C20B6" w14:textId="77777777">
        <w:trPr>
          <w:trHeight w:val="206"/>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19BA000E" w14:textId="25ECB93F">
            <w:pPr>
              <w:spacing w:after="0"/>
              <w:jc w:val="center"/>
              <w:rPr>
                <w:rFonts w:ascii="Garamond" w:hAnsi="Garamond"/>
              </w:rPr>
            </w:pPr>
            <w:r w:rsidRPr="00D11C96">
              <w:rPr>
                <w:rFonts w:ascii="Garamond" w:hAnsi="Garamond"/>
              </w:rPr>
              <w:t>Establecimientos de alojamiento turístico</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F4E101D" w14:textId="4B375DEE">
            <w:pPr>
              <w:spacing w:after="0"/>
              <w:jc w:val="center"/>
              <w:rPr>
                <w:rFonts w:ascii="Garamond" w:hAnsi="Garamond"/>
              </w:rPr>
            </w:pPr>
            <w:r w:rsidRPr="00D11C96">
              <w:rPr>
                <w:rFonts w:ascii="Garamond" w:hAnsi="Garamond"/>
              </w:rPr>
              <w:t>1.277</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720" w:type="dxa"/>
            </w:tcMar>
            <w:vAlign w:val="center"/>
          </w:tcPr>
          <w:p w:rsidRPr="00D11C96" w:rsidR="36CF9951" w:rsidP="000D018F" w:rsidRDefault="36CF9951" w14:paraId="76984D3A" w14:textId="5587ECA9">
            <w:pPr>
              <w:spacing w:after="0"/>
              <w:rPr>
                <w:rFonts w:ascii="Garamond" w:hAnsi="Garamond"/>
              </w:rPr>
            </w:pPr>
            <w:r w:rsidRPr="00D11C96">
              <w:rPr>
                <w:rFonts w:ascii="Garamond" w:hAnsi="Garamond"/>
              </w:rPr>
              <w:t>16.41 %</w:t>
            </w:r>
          </w:p>
        </w:tc>
      </w:tr>
      <w:tr w:rsidRPr="00D11C96" w:rsidR="00471FF0" w:rsidTr="000D018F" w14:paraId="69116712"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A6569B0" w14:textId="10281517">
            <w:pPr>
              <w:spacing w:after="0"/>
              <w:jc w:val="center"/>
              <w:rPr>
                <w:rFonts w:ascii="Garamond" w:hAnsi="Garamond"/>
              </w:rPr>
            </w:pPr>
            <w:r w:rsidRPr="00D11C96">
              <w:rPr>
                <w:rFonts w:ascii="Garamond" w:hAnsi="Garamond"/>
              </w:rPr>
              <w:t>Agencia de Viajes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15FAAA9C" w14:textId="4914C0D6">
            <w:pPr>
              <w:spacing w:after="0"/>
              <w:jc w:val="center"/>
              <w:rPr>
                <w:rFonts w:ascii="Garamond" w:hAnsi="Garamond"/>
              </w:rPr>
            </w:pPr>
            <w:r w:rsidRPr="00D11C96">
              <w:rPr>
                <w:rFonts w:ascii="Garamond" w:hAnsi="Garamond"/>
              </w:rPr>
              <w:t>834</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39881B1" w14:textId="408AE896">
            <w:pPr>
              <w:spacing w:after="0"/>
              <w:jc w:val="center"/>
              <w:rPr>
                <w:rFonts w:ascii="Garamond" w:hAnsi="Garamond"/>
              </w:rPr>
            </w:pPr>
            <w:r w:rsidRPr="00D11C96">
              <w:rPr>
                <w:rFonts w:ascii="Garamond" w:hAnsi="Garamond"/>
              </w:rPr>
              <w:t>10.71%</w:t>
            </w:r>
          </w:p>
        </w:tc>
      </w:tr>
      <w:tr w:rsidRPr="00D11C96" w:rsidR="00471FF0" w:rsidTr="000D018F" w14:paraId="48174EE5"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2103D92" w14:textId="07DCAF2B">
            <w:pPr>
              <w:spacing w:after="0"/>
              <w:jc w:val="center"/>
              <w:rPr>
                <w:rFonts w:ascii="Garamond" w:hAnsi="Garamond"/>
              </w:rPr>
            </w:pPr>
            <w:r w:rsidRPr="00D11C96">
              <w:rPr>
                <w:rFonts w:ascii="Garamond" w:hAnsi="Garamond"/>
              </w:rPr>
              <w:t>Guías de Turismo</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8817101" w14:textId="3C9A2203">
            <w:pPr>
              <w:spacing w:after="0"/>
              <w:jc w:val="center"/>
              <w:rPr>
                <w:rFonts w:ascii="Garamond" w:hAnsi="Garamond"/>
              </w:rPr>
            </w:pPr>
            <w:r w:rsidRPr="00D11C96">
              <w:rPr>
                <w:rFonts w:ascii="Garamond" w:hAnsi="Garamond"/>
              </w:rPr>
              <w:t>264</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6408F734" w14:textId="171AE9B9">
            <w:pPr>
              <w:spacing w:after="0"/>
              <w:jc w:val="center"/>
              <w:rPr>
                <w:rFonts w:ascii="Garamond" w:hAnsi="Garamond"/>
              </w:rPr>
            </w:pPr>
            <w:r w:rsidRPr="00D11C96">
              <w:rPr>
                <w:rFonts w:ascii="Garamond" w:hAnsi="Garamond"/>
              </w:rPr>
              <w:t>3.39%</w:t>
            </w:r>
          </w:p>
        </w:tc>
      </w:tr>
      <w:tr w:rsidRPr="00D11C96" w:rsidR="00471FF0" w:rsidTr="000D018F" w14:paraId="37BE1F2E"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C5A2AEC" w14:textId="35531F94">
            <w:pPr>
              <w:spacing w:after="0"/>
              <w:jc w:val="center"/>
              <w:rPr>
                <w:rFonts w:ascii="Garamond" w:hAnsi="Garamond"/>
              </w:rPr>
            </w:pPr>
            <w:r w:rsidRPr="00D11C96">
              <w:rPr>
                <w:rFonts w:ascii="Garamond" w:hAnsi="Garamond"/>
              </w:rPr>
              <w:t>Establecimientos de gastronomía</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7C5AE93" w14:textId="02DC8269">
            <w:pPr>
              <w:spacing w:after="0"/>
              <w:jc w:val="center"/>
              <w:rPr>
                <w:rFonts w:ascii="Garamond" w:hAnsi="Garamond"/>
              </w:rPr>
            </w:pPr>
            <w:r w:rsidRPr="00D11C96">
              <w:rPr>
                <w:rFonts w:ascii="Garamond" w:hAnsi="Garamond"/>
              </w:rPr>
              <w:t>95</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A4520BD" w14:textId="524F0C55">
            <w:pPr>
              <w:spacing w:after="0"/>
              <w:jc w:val="center"/>
              <w:rPr>
                <w:rFonts w:ascii="Garamond" w:hAnsi="Garamond"/>
              </w:rPr>
            </w:pPr>
            <w:r w:rsidRPr="00D11C96">
              <w:rPr>
                <w:rFonts w:ascii="Garamond" w:hAnsi="Garamond"/>
              </w:rPr>
              <w:t>1.22%</w:t>
            </w:r>
          </w:p>
        </w:tc>
      </w:tr>
      <w:tr w:rsidRPr="00D11C96" w:rsidR="00471FF0" w:rsidTr="000D018F" w14:paraId="0D797BE6"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BBCCD8B" w14:textId="0016EADB">
            <w:pPr>
              <w:spacing w:after="0"/>
              <w:jc w:val="center"/>
              <w:rPr>
                <w:rFonts w:ascii="Garamond" w:hAnsi="Garamond"/>
              </w:rPr>
            </w:pPr>
            <w:r w:rsidRPr="00D11C96">
              <w:rPr>
                <w:rFonts w:ascii="Garamond" w:hAnsi="Garamond"/>
              </w:rPr>
              <w:t>Operadores profesionales congresos ferias y convenciones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B330778" w14:textId="69A7062A">
            <w:pPr>
              <w:spacing w:after="0"/>
              <w:jc w:val="center"/>
              <w:rPr>
                <w:rFonts w:ascii="Garamond" w:hAnsi="Garamond"/>
              </w:rPr>
            </w:pPr>
            <w:r w:rsidRPr="00D11C96">
              <w:rPr>
                <w:rFonts w:ascii="Garamond" w:hAnsi="Garamond"/>
              </w:rPr>
              <w:t>63</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927BC72" w14:textId="1400C6FD">
            <w:pPr>
              <w:spacing w:after="0"/>
              <w:jc w:val="center"/>
              <w:rPr>
                <w:rFonts w:ascii="Garamond" w:hAnsi="Garamond"/>
              </w:rPr>
            </w:pPr>
            <w:r w:rsidRPr="00D11C96">
              <w:rPr>
                <w:rFonts w:ascii="Garamond" w:hAnsi="Garamond"/>
              </w:rPr>
              <w:t>0.81%</w:t>
            </w:r>
          </w:p>
        </w:tc>
      </w:tr>
      <w:tr w:rsidRPr="00D11C96" w:rsidR="00471FF0" w:rsidTr="000D018F" w14:paraId="094B6F68"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7EE84A5" w14:textId="3C233CAE">
            <w:pPr>
              <w:spacing w:after="0"/>
              <w:jc w:val="center"/>
              <w:rPr>
                <w:rFonts w:ascii="Garamond" w:hAnsi="Garamond"/>
              </w:rPr>
            </w:pPr>
            <w:r w:rsidRPr="00D11C96">
              <w:rPr>
                <w:rFonts w:ascii="Garamond" w:hAnsi="Garamond"/>
              </w:rPr>
              <w:t>Empresas de transporte terrestre automotor</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202CCC94" w14:textId="429C2FFE">
            <w:pPr>
              <w:spacing w:after="0"/>
              <w:jc w:val="center"/>
              <w:rPr>
                <w:rFonts w:ascii="Garamond" w:hAnsi="Garamond"/>
              </w:rPr>
            </w:pPr>
            <w:r w:rsidRPr="00D11C96">
              <w:rPr>
                <w:rFonts w:ascii="Garamond" w:hAnsi="Garamond"/>
              </w:rPr>
              <w:t>62</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6247F50B" w14:textId="36206603">
            <w:pPr>
              <w:spacing w:after="0"/>
              <w:jc w:val="center"/>
              <w:rPr>
                <w:rFonts w:ascii="Garamond" w:hAnsi="Garamond"/>
              </w:rPr>
            </w:pPr>
            <w:r w:rsidRPr="00D11C96">
              <w:rPr>
                <w:rFonts w:ascii="Garamond" w:hAnsi="Garamond"/>
              </w:rPr>
              <w:t>0.80%</w:t>
            </w:r>
          </w:p>
        </w:tc>
      </w:tr>
      <w:tr w:rsidRPr="00D11C96" w:rsidR="00471FF0" w:rsidTr="000D018F" w14:paraId="1F5A7E37"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31E9B2F" w14:textId="13F4958E">
            <w:pPr>
              <w:spacing w:after="0"/>
              <w:jc w:val="center"/>
              <w:rPr>
                <w:rFonts w:ascii="Garamond" w:hAnsi="Garamond"/>
              </w:rPr>
            </w:pPr>
            <w:r w:rsidRPr="00D11C96">
              <w:rPr>
                <w:rFonts w:ascii="Garamond" w:hAnsi="Garamond"/>
              </w:rPr>
              <w:t>Parques Temáticos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64BC6ED" w14:textId="33B67C06">
            <w:pPr>
              <w:spacing w:after="0"/>
              <w:jc w:val="center"/>
              <w:rPr>
                <w:rFonts w:ascii="Garamond" w:hAnsi="Garamond"/>
              </w:rPr>
            </w:pPr>
            <w:r w:rsidRPr="00D11C96">
              <w:rPr>
                <w:rFonts w:ascii="Garamond" w:hAnsi="Garamond"/>
              </w:rPr>
              <w:t>43</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5E66E86" w14:textId="3F725213">
            <w:pPr>
              <w:spacing w:after="0"/>
              <w:jc w:val="center"/>
              <w:rPr>
                <w:rFonts w:ascii="Garamond" w:hAnsi="Garamond"/>
              </w:rPr>
            </w:pPr>
            <w:r w:rsidRPr="00D11C96">
              <w:rPr>
                <w:rFonts w:ascii="Garamond" w:hAnsi="Garamond"/>
              </w:rPr>
              <w:t>0.55%</w:t>
            </w:r>
          </w:p>
        </w:tc>
      </w:tr>
      <w:tr w:rsidRPr="00D11C96" w:rsidR="00471FF0" w:rsidTr="000D018F" w14:paraId="3851FC5D"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2DC95AFF" w14:textId="0CCBA162">
            <w:pPr>
              <w:spacing w:after="0"/>
              <w:jc w:val="center"/>
              <w:rPr>
                <w:rFonts w:ascii="Garamond" w:hAnsi="Garamond"/>
              </w:rPr>
            </w:pPr>
            <w:r w:rsidRPr="00D11C96">
              <w:rPr>
                <w:rFonts w:ascii="Garamond" w:hAnsi="Garamond"/>
              </w:rPr>
              <w:t>Oficinas de representación turística</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D97F86C" w14:textId="58F3D568">
            <w:pPr>
              <w:spacing w:after="0"/>
              <w:jc w:val="center"/>
              <w:rPr>
                <w:rFonts w:ascii="Garamond" w:hAnsi="Garamond"/>
              </w:rPr>
            </w:pPr>
            <w:r w:rsidRPr="00D11C96">
              <w:rPr>
                <w:rFonts w:ascii="Garamond" w:hAnsi="Garamond"/>
              </w:rPr>
              <w:t>33</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5A0263F" w14:textId="3B6887C4">
            <w:pPr>
              <w:spacing w:after="0"/>
              <w:jc w:val="center"/>
              <w:rPr>
                <w:rFonts w:ascii="Garamond" w:hAnsi="Garamond"/>
              </w:rPr>
            </w:pPr>
            <w:r w:rsidRPr="00D11C96">
              <w:rPr>
                <w:rFonts w:ascii="Garamond" w:hAnsi="Garamond"/>
              </w:rPr>
              <w:t>0.42%</w:t>
            </w:r>
          </w:p>
        </w:tc>
      </w:tr>
      <w:tr w:rsidRPr="00D11C96" w:rsidR="00471FF0" w:rsidTr="000D018F" w14:paraId="7526F8A4"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6DE09FF7" w14:textId="308337B6">
            <w:pPr>
              <w:spacing w:after="0"/>
              <w:jc w:val="center"/>
              <w:rPr>
                <w:rFonts w:ascii="Garamond" w:hAnsi="Garamond"/>
              </w:rPr>
            </w:pPr>
            <w:r w:rsidRPr="00D11C96">
              <w:rPr>
                <w:rFonts w:ascii="Garamond" w:hAnsi="Garamond"/>
              </w:rPr>
              <w:t>Operadores de Plataformas electrónicas o digitales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089B97C5" w14:textId="723B4576">
            <w:pPr>
              <w:spacing w:after="0"/>
              <w:jc w:val="center"/>
              <w:rPr>
                <w:rFonts w:ascii="Garamond" w:hAnsi="Garamond"/>
              </w:rPr>
            </w:pPr>
            <w:r w:rsidRPr="00D11C96">
              <w:rPr>
                <w:rFonts w:ascii="Garamond" w:hAnsi="Garamond"/>
              </w:rPr>
              <w:t>9</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1121A323" w14:textId="0A1125CD">
            <w:pPr>
              <w:spacing w:after="0"/>
              <w:jc w:val="center"/>
              <w:rPr>
                <w:rFonts w:ascii="Garamond" w:hAnsi="Garamond"/>
              </w:rPr>
            </w:pPr>
            <w:r w:rsidRPr="00D11C96">
              <w:rPr>
                <w:rFonts w:ascii="Garamond" w:hAnsi="Garamond"/>
              </w:rPr>
              <w:t>0.12%</w:t>
            </w:r>
          </w:p>
        </w:tc>
      </w:tr>
      <w:tr w:rsidRPr="00D11C96" w:rsidR="00471FF0" w:rsidTr="000D018F" w14:paraId="0BA0458E"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520AE1F6" w14:textId="359352DB">
            <w:pPr>
              <w:spacing w:after="0"/>
              <w:jc w:val="center"/>
              <w:rPr>
                <w:rFonts w:ascii="Garamond" w:hAnsi="Garamond"/>
              </w:rPr>
            </w:pPr>
            <w:r w:rsidRPr="00D11C96">
              <w:rPr>
                <w:rFonts w:ascii="Garamond" w:hAnsi="Garamond"/>
              </w:rPr>
              <w:t>Otros prestadores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0BDC062" w14:textId="34C41EA3">
            <w:pPr>
              <w:spacing w:after="0"/>
              <w:jc w:val="center"/>
              <w:rPr>
                <w:rFonts w:ascii="Garamond" w:hAnsi="Garamond"/>
              </w:rPr>
            </w:pPr>
            <w:r w:rsidRPr="00D11C96">
              <w:rPr>
                <w:rFonts w:ascii="Garamond" w:hAnsi="Garamond"/>
              </w:rPr>
              <w:t>7</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78B49AA" w14:textId="74A44D1E">
            <w:pPr>
              <w:spacing w:after="0"/>
              <w:jc w:val="center"/>
              <w:rPr>
                <w:rFonts w:ascii="Garamond" w:hAnsi="Garamond"/>
              </w:rPr>
            </w:pPr>
            <w:r w:rsidRPr="00D11C96">
              <w:rPr>
                <w:rFonts w:ascii="Garamond" w:hAnsi="Garamond"/>
              </w:rPr>
              <w:t>0.09%</w:t>
            </w:r>
          </w:p>
        </w:tc>
      </w:tr>
      <w:tr w:rsidRPr="00D11C96" w:rsidR="00471FF0" w:rsidTr="000D018F" w14:paraId="52E8FE59"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7D09881C" w14:textId="01F9571C">
            <w:pPr>
              <w:spacing w:after="0"/>
              <w:jc w:val="center"/>
              <w:rPr>
                <w:rFonts w:ascii="Garamond" w:hAnsi="Garamond"/>
              </w:rPr>
            </w:pPr>
            <w:r w:rsidRPr="00D11C96">
              <w:rPr>
                <w:rFonts w:ascii="Garamond" w:hAnsi="Garamond"/>
              </w:rPr>
              <w:t>Bares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A75D114" w14:textId="46E036B8">
            <w:pPr>
              <w:spacing w:after="0"/>
              <w:jc w:val="center"/>
              <w:rPr>
                <w:rFonts w:ascii="Garamond" w:hAnsi="Garamond"/>
              </w:rPr>
            </w:pPr>
            <w:r w:rsidRPr="00D11C96">
              <w:rPr>
                <w:rFonts w:ascii="Garamond" w:hAnsi="Garamond"/>
              </w:rPr>
              <w:t>6</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94FC3DD" w14:textId="66597EA6">
            <w:pPr>
              <w:spacing w:after="0"/>
              <w:jc w:val="center"/>
              <w:rPr>
                <w:rFonts w:ascii="Garamond" w:hAnsi="Garamond"/>
              </w:rPr>
            </w:pPr>
            <w:r w:rsidRPr="00D11C96">
              <w:rPr>
                <w:rFonts w:ascii="Garamond" w:hAnsi="Garamond"/>
              </w:rPr>
              <w:t>0.08%</w:t>
            </w:r>
          </w:p>
        </w:tc>
      </w:tr>
      <w:tr w:rsidRPr="00D11C96" w:rsidR="00471FF0" w:rsidTr="000D018F" w14:paraId="4FE58A2D"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28700E9" w14:textId="7FD350DA">
            <w:pPr>
              <w:spacing w:after="0"/>
              <w:jc w:val="center"/>
              <w:rPr>
                <w:rFonts w:ascii="Garamond" w:hAnsi="Garamond"/>
              </w:rPr>
            </w:pPr>
            <w:r w:rsidRPr="00D11C96">
              <w:rPr>
                <w:rFonts w:ascii="Garamond" w:hAnsi="Garamond"/>
              </w:rPr>
              <w:t>Arrendadores de Vehículos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363AFF89" w14:textId="133C9C3F">
            <w:pPr>
              <w:spacing w:after="0"/>
              <w:jc w:val="center"/>
              <w:rPr>
                <w:rFonts w:ascii="Garamond" w:hAnsi="Garamond"/>
              </w:rPr>
            </w:pPr>
            <w:r w:rsidRPr="00D11C96">
              <w:rPr>
                <w:rFonts w:ascii="Garamond" w:hAnsi="Garamond"/>
              </w:rPr>
              <w:t>5</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5B6B5E05" w14:textId="7EF1BC52">
            <w:pPr>
              <w:spacing w:after="0"/>
              <w:jc w:val="center"/>
              <w:rPr>
                <w:rFonts w:ascii="Garamond" w:hAnsi="Garamond"/>
              </w:rPr>
            </w:pPr>
            <w:r w:rsidRPr="00D11C96">
              <w:rPr>
                <w:rFonts w:ascii="Garamond" w:hAnsi="Garamond"/>
              </w:rPr>
              <w:t>0.06%</w:t>
            </w:r>
          </w:p>
        </w:tc>
      </w:tr>
      <w:tr w:rsidRPr="00D11C96" w:rsidR="00471FF0" w:rsidTr="000D018F" w14:paraId="16E58EB1" w14:textId="77777777">
        <w:trPr>
          <w:trHeight w:val="47"/>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9828CFB" w14:textId="1242C6E0">
            <w:pPr>
              <w:spacing w:after="0"/>
              <w:jc w:val="center"/>
              <w:rPr>
                <w:rFonts w:ascii="Garamond" w:hAnsi="Garamond"/>
              </w:rPr>
            </w:pPr>
            <w:r w:rsidRPr="00D11C96">
              <w:rPr>
                <w:rFonts w:ascii="Garamond" w:hAnsi="Garamond"/>
              </w:rPr>
              <w:t>Concesionarios de Servicios Turísticos en Parque</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69EB7BE7" w14:textId="3C979B95">
            <w:pPr>
              <w:spacing w:after="0"/>
              <w:jc w:val="center"/>
              <w:rPr>
                <w:rFonts w:ascii="Garamond" w:hAnsi="Garamond"/>
              </w:rPr>
            </w:pPr>
            <w:r w:rsidRPr="00D11C96">
              <w:rPr>
                <w:rFonts w:ascii="Garamond" w:hAnsi="Garamond"/>
              </w:rPr>
              <w:t>5</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622F02AA" w14:textId="10B27FCE">
            <w:pPr>
              <w:spacing w:after="0"/>
              <w:jc w:val="center"/>
              <w:rPr>
                <w:rFonts w:ascii="Garamond" w:hAnsi="Garamond"/>
              </w:rPr>
            </w:pPr>
            <w:r w:rsidRPr="00D11C96">
              <w:rPr>
                <w:rFonts w:ascii="Garamond" w:hAnsi="Garamond"/>
              </w:rPr>
              <w:t>0.06%</w:t>
            </w:r>
          </w:p>
        </w:tc>
      </w:tr>
      <w:tr w:rsidRPr="00D11C96" w:rsidR="00471FF0" w:rsidTr="000D018F" w14:paraId="2FFAFBB3" w14:textId="77777777">
        <w:trPr>
          <w:trHeight w:val="465"/>
        </w:trPr>
        <w:tc>
          <w:tcPr>
            <w:tcW w:w="26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CF1BB3A" w14:textId="0B7C7E78">
            <w:pPr>
              <w:spacing w:after="0"/>
              <w:jc w:val="center"/>
              <w:rPr>
                <w:rFonts w:ascii="Garamond" w:hAnsi="Garamond"/>
              </w:rPr>
            </w:pPr>
            <w:r w:rsidRPr="00D11C96">
              <w:rPr>
                <w:rFonts w:ascii="Garamond" w:hAnsi="Garamond" w:eastAsia="Arial" w:cs="Arial"/>
                <w:b/>
                <w:bCs/>
              </w:rPr>
              <w:t>Total Prestadores de Servicios Turísticos</w:t>
            </w:r>
          </w:p>
        </w:tc>
        <w:tc>
          <w:tcPr>
            <w:tcW w:w="10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DAB9298" w14:textId="4C2D75F2">
            <w:pPr>
              <w:spacing w:after="0"/>
              <w:jc w:val="center"/>
              <w:rPr>
                <w:rFonts w:ascii="Garamond" w:hAnsi="Garamond"/>
              </w:rPr>
            </w:pPr>
            <w:r w:rsidRPr="00D11C96">
              <w:rPr>
                <w:rFonts w:ascii="Garamond" w:hAnsi="Garamond" w:eastAsia="Arial" w:cs="Arial"/>
                <w:b/>
                <w:bCs/>
              </w:rPr>
              <w:t>7784</w:t>
            </w:r>
          </w:p>
        </w:tc>
        <w:tc>
          <w:tcPr>
            <w:tcW w:w="1345"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11C96" w:rsidR="36CF9951" w:rsidP="00591C92" w:rsidRDefault="36CF9951" w14:paraId="452AE82E" w14:textId="396E0E08">
            <w:pPr>
              <w:spacing w:after="0"/>
              <w:jc w:val="center"/>
              <w:rPr>
                <w:rFonts w:ascii="Garamond" w:hAnsi="Garamond"/>
              </w:rPr>
            </w:pPr>
            <w:r w:rsidRPr="00D11C96">
              <w:rPr>
                <w:rFonts w:ascii="Garamond" w:hAnsi="Garamond" w:eastAsia="Arial" w:cs="Arial"/>
                <w:b/>
                <w:bCs/>
              </w:rPr>
              <w:t>100%</w:t>
            </w:r>
          </w:p>
        </w:tc>
      </w:tr>
    </w:tbl>
    <w:p w:rsidRPr="00D11C96" w:rsidR="36CF9951" w:rsidP="00E66113" w:rsidRDefault="00E66113" w14:paraId="4E0B4F84" w14:textId="0081AAF9">
      <w:pPr>
        <w:jc w:val="center"/>
        <w:rPr>
          <w:rFonts w:ascii="Garamond" w:hAnsi="Garamond" w:eastAsia="Garamond" w:cs="Garamond"/>
          <w:sz w:val="22"/>
          <w:szCs w:val="22"/>
        </w:rPr>
      </w:pPr>
      <w:r w:rsidRPr="00D11C96">
        <w:rPr>
          <w:rFonts w:ascii="Garamond" w:hAnsi="Garamond" w:cs="Arial"/>
          <w:sz w:val="20"/>
          <w:szCs w:val="20"/>
        </w:rPr>
        <w:t xml:space="preserve">Fuente: Elaboración propia con datos del </w:t>
      </w:r>
      <w:r>
        <w:rPr>
          <w:rFonts w:ascii="Garamond" w:hAnsi="Garamond" w:cs="Arial"/>
          <w:sz w:val="20"/>
          <w:szCs w:val="20"/>
        </w:rPr>
        <w:t>IDECUT</w:t>
      </w:r>
      <w:r w:rsidRPr="00D11C96">
        <w:rPr>
          <w:rFonts w:ascii="Garamond" w:hAnsi="Garamond" w:cs="Arial"/>
          <w:sz w:val="20"/>
          <w:szCs w:val="20"/>
        </w:rPr>
        <w:t xml:space="preserve"> (20</w:t>
      </w:r>
      <w:r>
        <w:rPr>
          <w:rFonts w:ascii="Garamond" w:hAnsi="Garamond" w:cs="Arial"/>
          <w:sz w:val="20"/>
          <w:szCs w:val="20"/>
        </w:rPr>
        <w:t>24</w:t>
      </w:r>
      <w:r w:rsidRPr="00D11C96">
        <w:rPr>
          <w:rFonts w:ascii="Garamond" w:hAnsi="Garamond" w:cs="Arial"/>
          <w:sz w:val="20"/>
          <w:szCs w:val="20"/>
        </w:rPr>
        <w:t>)</w:t>
      </w:r>
    </w:p>
    <w:p w:rsidRPr="00D11C96" w:rsidR="009232B8" w:rsidP="36CF9951" w:rsidRDefault="009232B8" w14:paraId="1D115900" w14:textId="0EFE0E33">
      <w:pPr>
        <w:jc w:val="both"/>
        <w:rPr>
          <w:rFonts w:ascii="Garamond" w:hAnsi="Garamond" w:eastAsia="Garamond" w:cs="Garamond"/>
          <w:sz w:val="22"/>
          <w:szCs w:val="22"/>
        </w:rPr>
      </w:pPr>
      <w:r w:rsidRPr="00D11C96">
        <w:rPr>
          <w:rFonts w:ascii="Garamond" w:hAnsi="Garamond" w:eastAsia="Garamond" w:cs="Garamond"/>
          <w:sz w:val="22"/>
          <w:szCs w:val="22"/>
        </w:rPr>
        <w:t xml:space="preserve">De lo anterior, se tiene que </w:t>
      </w:r>
      <w:r w:rsidRPr="00D11C96" w:rsidR="00DA2213">
        <w:rPr>
          <w:rFonts w:ascii="Garamond" w:hAnsi="Garamond" w:eastAsia="Garamond" w:cs="Garamond"/>
          <w:sz w:val="22"/>
          <w:szCs w:val="22"/>
        </w:rPr>
        <w:t>él</w:t>
      </w:r>
      <w:r w:rsidRPr="00D11C96">
        <w:rPr>
          <w:rFonts w:ascii="Garamond" w:hAnsi="Garamond" w:eastAsia="Garamond" w:cs="Garamond"/>
          <w:sz w:val="22"/>
          <w:szCs w:val="22"/>
        </w:rPr>
        <w:t xml:space="preserve"> (IDECUT, 2024) rep</w:t>
      </w:r>
      <w:r w:rsidRPr="00D11C96" w:rsidR="00CA5477">
        <w:rPr>
          <w:rFonts w:ascii="Garamond" w:hAnsi="Garamond" w:eastAsia="Garamond" w:cs="Garamond"/>
          <w:sz w:val="22"/>
          <w:szCs w:val="22"/>
        </w:rPr>
        <w:t>orta</w:t>
      </w:r>
      <w:r w:rsidRPr="00D11C96" w:rsidR="009A5F19">
        <w:rPr>
          <w:rFonts w:ascii="Garamond" w:hAnsi="Garamond" w:eastAsia="Garamond" w:cs="Garamond"/>
          <w:sz w:val="22"/>
          <w:szCs w:val="22"/>
        </w:rPr>
        <w:t xml:space="preserve"> que:</w:t>
      </w:r>
    </w:p>
    <w:p w:rsidRPr="00D11C96" w:rsidR="0015282B" w:rsidP="009232B8" w:rsidRDefault="0015282B" w14:paraId="58878286" w14:textId="77777777">
      <w:pPr>
        <w:pStyle w:val="ListParagraph"/>
        <w:numPr>
          <w:ilvl w:val="0"/>
          <w:numId w:val="23"/>
        </w:numPr>
        <w:jc w:val="both"/>
        <w:rPr>
          <w:rFonts w:ascii="Garamond" w:hAnsi="Garamond"/>
          <w:sz w:val="22"/>
          <w:szCs w:val="22"/>
        </w:rPr>
      </w:pPr>
      <w:r w:rsidRPr="00D11C96">
        <w:rPr>
          <w:rFonts w:ascii="Garamond" w:hAnsi="Garamond"/>
          <w:sz w:val="22"/>
          <w:szCs w:val="22"/>
        </w:rPr>
        <w:t xml:space="preserve">Las viviendas turísticas representan el 65.27% del total de prestadores de servicios turísticos en Cundinamarca, siendo la categoría con mayor participación. </w:t>
      </w:r>
    </w:p>
    <w:p w:rsidRPr="00D11C96" w:rsidR="0015282B" w:rsidP="0015282B" w:rsidRDefault="0015282B" w14:paraId="650F44E2" w14:textId="2DFF6508">
      <w:pPr>
        <w:pStyle w:val="ListParagraph"/>
        <w:numPr>
          <w:ilvl w:val="0"/>
          <w:numId w:val="22"/>
        </w:numPr>
        <w:jc w:val="both"/>
        <w:rPr>
          <w:rFonts w:ascii="Garamond" w:hAnsi="Garamond"/>
          <w:sz w:val="22"/>
          <w:szCs w:val="22"/>
        </w:rPr>
      </w:pPr>
      <w:r w:rsidRPr="00D11C96">
        <w:rPr>
          <w:rFonts w:ascii="Garamond" w:hAnsi="Garamond"/>
          <w:sz w:val="22"/>
          <w:szCs w:val="22"/>
        </w:rPr>
        <w:t xml:space="preserve">Los establecimientos de alojamiento turístico con un 16.41%, incluyen en su mayoría hoteles, hostales, campamentos y centro vacacionales. </w:t>
      </w:r>
    </w:p>
    <w:p w:rsidRPr="00D11C96" w:rsidR="0015282B" w:rsidP="0015282B" w:rsidRDefault="0015282B" w14:paraId="46DF7310" w14:textId="06D90B77">
      <w:pPr>
        <w:pStyle w:val="ListParagraph"/>
        <w:numPr>
          <w:ilvl w:val="0"/>
          <w:numId w:val="22"/>
        </w:numPr>
        <w:jc w:val="both"/>
        <w:rPr>
          <w:rFonts w:ascii="Garamond" w:hAnsi="Garamond"/>
          <w:sz w:val="22"/>
          <w:szCs w:val="22"/>
        </w:rPr>
      </w:pPr>
      <w:r w:rsidRPr="00D11C96">
        <w:rPr>
          <w:rFonts w:ascii="Garamond" w:hAnsi="Garamond"/>
          <w:sz w:val="22"/>
          <w:szCs w:val="22"/>
        </w:rPr>
        <w:t xml:space="preserve">Las agencias de viajes constituyen el 10.71% del total de prestadores de servicios turísticos en la región, dentro de esta categoría, principalmente, agencias de viajes operadoras y agencias de viajes y turismo. </w:t>
      </w:r>
    </w:p>
    <w:p w:rsidRPr="00D11C96" w:rsidR="0015282B" w:rsidP="0015282B" w:rsidRDefault="0015282B" w14:paraId="1FDA69E4" w14:textId="501A7AE0">
      <w:pPr>
        <w:pStyle w:val="ListParagraph"/>
        <w:numPr>
          <w:ilvl w:val="0"/>
          <w:numId w:val="22"/>
        </w:numPr>
        <w:jc w:val="both"/>
        <w:rPr>
          <w:rFonts w:ascii="Garamond" w:hAnsi="Garamond"/>
          <w:sz w:val="22"/>
          <w:szCs w:val="22"/>
        </w:rPr>
      </w:pPr>
      <w:r w:rsidRPr="00D11C96">
        <w:rPr>
          <w:rFonts w:ascii="Garamond" w:hAnsi="Garamond"/>
          <w:sz w:val="22"/>
          <w:szCs w:val="22"/>
        </w:rPr>
        <w:t xml:space="preserve">Además, a corte de octubre de 2024, el departamento cuenta con 264 guías de turismo (3.39%) en los diferentes municipios de Cundinamarca. </w:t>
      </w:r>
    </w:p>
    <w:p w:rsidRPr="00D11C96" w:rsidR="0015282B" w:rsidP="0015282B" w:rsidRDefault="0015282B" w14:paraId="69AD0448" w14:textId="53F50C91">
      <w:pPr>
        <w:pStyle w:val="ListParagraph"/>
        <w:numPr>
          <w:ilvl w:val="0"/>
          <w:numId w:val="22"/>
        </w:numPr>
        <w:jc w:val="both"/>
        <w:rPr>
          <w:rFonts w:ascii="Garamond" w:hAnsi="Garamond"/>
          <w:sz w:val="22"/>
          <w:szCs w:val="22"/>
        </w:rPr>
      </w:pPr>
      <w:r w:rsidRPr="00D11C96">
        <w:rPr>
          <w:rFonts w:ascii="Garamond" w:hAnsi="Garamond"/>
          <w:sz w:val="22"/>
          <w:szCs w:val="22"/>
        </w:rPr>
        <w:t>Aunque solo representan el 1.22% del total, los establecimientos de gastronomía son una parte esencial de la experiencia turística en Cundinamarca.</w:t>
      </w:r>
    </w:p>
    <w:p w:rsidRPr="00D11C96" w:rsidR="00E61D1A" w:rsidP="007D208C" w:rsidRDefault="005A6FE2" w14:paraId="3A27F688" w14:textId="0396D374">
      <w:pPr>
        <w:jc w:val="both"/>
        <w:rPr>
          <w:rFonts w:ascii="Garamond" w:hAnsi="Garamond"/>
          <w:sz w:val="22"/>
          <w:szCs w:val="22"/>
        </w:rPr>
      </w:pPr>
      <w:r w:rsidRPr="00D11C96">
        <w:rPr>
          <w:rFonts w:ascii="Garamond" w:hAnsi="Garamond"/>
          <w:sz w:val="22"/>
          <w:szCs w:val="22"/>
        </w:rPr>
        <w:t>Atado a est</w:t>
      </w:r>
      <w:r w:rsidRPr="00D11C96" w:rsidR="003F34AC">
        <w:rPr>
          <w:rFonts w:ascii="Garamond" w:hAnsi="Garamond"/>
          <w:sz w:val="22"/>
          <w:szCs w:val="22"/>
        </w:rPr>
        <w:t xml:space="preserve">a infraestructura, se encuentra una demanda de turismo </w:t>
      </w:r>
      <w:r w:rsidRPr="00D11C96" w:rsidR="009A5F19">
        <w:rPr>
          <w:rFonts w:ascii="Garamond" w:hAnsi="Garamond"/>
          <w:sz w:val="22"/>
          <w:szCs w:val="22"/>
        </w:rPr>
        <w:t>caracterizada por</w:t>
      </w:r>
      <w:r w:rsidRPr="00D11C96" w:rsidR="003F34AC">
        <w:rPr>
          <w:rFonts w:ascii="Garamond" w:hAnsi="Garamond"/>
          <w:sz w:val="22"/>
          <w:szCs w:val="22"/>
        </w:rPr>
        <w:t xml:space="preserve"> un </w:t>
      </w:r>
      <w:r w:rsidRPr="00D11C96" w:rsidR="00A604D4">
        <w:rPr>
          <w:rFonts w:ascii="Garamond" w:hAnsi="Garamond"/>
          <w:sz w:val="22"/>
          <w:szCs w:val="22"/>
        </w:rPr>
        <w:t xml:space="preserve">perfil del consumidor </w:t>
      </w:r>
      <w:r w:rsidRPr="00D11C96" w:rsidR="003F34AC">
        <w:rPr>
          <w:rFonts w:ascii="Garamond" w:hAnsi="Garamond"/>
          <w:sz w:val="22"/>
          <w:szCs w:val="22"/>
        </w:rPr>
        <w:t xml:space="preserve">entorno a la </w:t>
      </w:r>
      <w:r w:rsidRPr="00D11C96" w:rsidR="00A604D4">
        <w:rPr>
          <w:rFonts w:ascii="Garamond" w:hAnsi="Garamond"/>
          <w:sz w:val="22"/>
          <w:szCs w:val="22"/>
        </w:rPr>
        <w:t xml:space="preserve">naturaleza </w:t>
      </w:r>
      <w:r w:rsidRPr="00D11C96" w:rsidR="00AA4EAD">
        <w:rPr>
          <w:rFonts w:ascii="Garamond" w:hAnsi="Garamond"/>
          <w:sz w:val="22"/>
          <w:szCs w:val="22"/>
        </w:rPr>
        <w:t>de</w:t>
      </w:r>
      <w:r w:rsidRPr="00D11C96" w:rsidR="00A604D4">
        <w:rPr>
          <w:rFonts w:ascii="Garamond" w:hAnsi="Garamond"/>
          <w:sz w:val="22"/>
          <w:szCs w:val="22"/>
        </w:rPr>
        <w:t xml:space="preserve"> la Sabana de Bogotá</w:t>
      </w:r>
      <w:r w:rsidRPr="00D11C96" w:rsidR="00AA4EAD">
        <w:rPr>
          <w:rFonts w:ascii="Garamond" w:hAnsi="Garamond"/>
          <w:sz w:val="22"/>
          <w:szCs w:val="22"/>
        </w:rPr>
        <w:t>, el cual s</w:t>
      </w:r>
      <w:r w:rsidRPr="00D11C96" w:rsidR="00A604D4">
        <w:rPr>
          <w:rFonts w:ascii="Garamond" w:hAnsi="Garamond"/>
          <w:sz w:val="22"/>
          <w:szCs w:val="22"/>
        </w:rPr>
        <w:t xml:space="preserve">e </w:t>
      </w:r>
      <w:r w:rsidRPr="00D11C96" w:rsidR="00AA4EAD">
        <w:rPr>
          <w:rFonts w:ascii="Garamond" w:hAnsi="Garamond"/>
          <w:sz w:val="22"/>
          <w:szCs w:val="22"/>
        </w:rPr>
        <w:t>categoriza</w:t>
      </w:r>
      <w:r w:rsidRPr="00D11C96" w:rsidR="00A604D4">
        <w:rPr>
          <w:rFonts w:ascii="Garamond" w:hAnsi="Garamond"/>
          <w:sz w:val="22"/>
          <w:szCs w:val="22"/>
        </w:rPr>
        <w:t xml:space="preserve"> como alocéntrico</w:t>
      </w:r>
      <w:r w:rsidRPr="00D11C96" w:rsidR="00E61D1A">
        <w:rPr>
          <w:rFonts w:ascii="Garamond" w:hAnsi="Garamond"/>
          <w:sz w:val="22"/>
          <w:szCs w:val="22"/>
        </w:rPr>
        <w:t xml:space="preserve"> y que</w:t>
      </w:r>
      <w:r w:rsidRPr="00D11C96" w:rsidR="00AA4EAD">
        <w:rPr>
          <w:rFonts w:ascii="Garamond" w:hAnsi="Garamond"/>
          <w:sz w:val="22"/>
          <w:szCs w:val="22"/>
        </w:rPr>
        <w:t xml:space="preserve"> favorece </w:t>
      </w:r>
      <w:r w:rsidRPr="00D11C96" w:rsidR="00B35EB7">
        <w:rPr>
          <w:rFonts w:ascii="Garamond" w:hAnsi="Garamond"/>
          <w:sz w:val="22"/>
          <w:szCs w:val="22"/>
        </w:rPr>
        <w:t>el turismo responsable, puesto que su</w:t>
      </w:r>
      <w:r w:rsidRPr="00D11C96" w:rsidR="00A604D4">
        <w:rPr>
          <w:rFonts w:ascii="Garamond" w:hAnsi="Garamond"/>
          <w:sz w:val="22"/>
          <w:szCs w:val="22"/>
        </w:rPr>
        <w:t xml:space="preserve"> enfoque se ve asociado a la percepción de un turismo responsable y sostenible</w:t>
      </w:r>
      <w:r w:rsidRPr="00D11C96" w:rsidR="00E61D1A">
        <w:rPr>
          <w:rFonts w:ascii="Garamond" w:hAnsi="Garamond"/>
          <w:sz w:val="22"/>
          <w:szCs w:val="22"/>
        </w:rPr>
        <w:t xml:space="preserve"> como un atractivo importante</w:t>
      </w:r>
      <w:r w:rsidRPr="00D11C96" w:rsidR="00A604D4">
        <w:rPr>
          <w:rFonts w:ascii="Garamond" w:hAnsi="Garamond"/>
          <w:sz w:val="22"/>
          <w:szCs w:val="22"/>
        </w:rPr>
        <w:t xml:space="preserve"> (Camargo &amp; Lasso, 2021)</w:t>
      </w:r>
      <w:r w:rsidRPr="00D11C96" w:rsidR="001A32E3">
        <w:rPr>
          <w:rFonts w:ascii="Garamond" w:hAnsi="Garamond"/>
          <w:sz w:val="22"/>
          <w:szCs w:val="22"/>
        </w:rPr>
        <w:t xml:space="preserve">. </w:t>
      </w:r>
    </w:p>
    <w:p w:rsidRPr="00D11C96" w:rsidR="001A32E3" w:rsidP="007D208C" w:rsidRDefault="001A32E3" w14:paraId="03C1D251" w14:textId="3EE3DFF9">
      <w:pPr>
        <w:jc w:val="both"/>
        <w:rPr>
          <w:rFonts w:ascii="Garamond" w:hAnsi="Garamond"/>
          <w:sz w:val="22"/>
          <w:szCs w:val="22"/>
        </w:rPr>
      </w:pPr>
      <w:r w:rsidRPr="00D11C96">
        <w:rPr>
          <w:rFonts w:ascii="Garamond" w:hAnsi="Garamond"/>
          <w:sz w:val="22"/>
          <w:szCs w:val="22"/>
        </w:rPr>
        <w:t xml:space="preserve">En términos de </w:t>
      </w:r>
      <w:r w:rsidRPr="00D11C96" w:rsidR="00E41C2A">
        <w:rPr>
          <w:rFonts w:ascii="Garamond" w:hAnsi="Garamond"/>
          <w:sz w:val="22"/>
          <w:szCs w:val="22"/>
        </w:rPr>
        <w:t>tráfico</w:t>
      </w:r>
      <w:r w:rsidRPr="00D11C96">
        <w:rPr>
          <w:rFonts w:ascii="Garamond" w:hAnsi="Garamond"/>
          <w:sz w:val="22"/>
          <w:szCs w:val="22"/>
        </w:rPr>
        <w:t xml:space="preserve"> vehicular, </w:t>
      </w:r>
      <w:r w:rsidRPr="00D11C96" w:rsidR="00430100">
        <w:rPr>
          <w:rFonts w:ascii="Garamond" w:hAnsi="Garamond"/>
          <w:sz w:val="22"/>
          <w:szCs w:val="22"/>
        </w:rPr>
        <w:t>IDECUT (2024) reporta un total</w:t>
      </w:r>
      <w:r w:rsidRPr="00D11C96">
        <w:rPr>
          <w:rFonts w:ascii="Garamond" w:hAnsi="Garamond"/>
          <w:sz w:val="22"/>
          <w:szCs w:val="22"/>
        </w:rPr>
        <w:t xml:space="preserve"> de vehículos registrados por los puntos de recaudo en el departamento a cargo de la ANI </w:t>
      </w:r>
      <w:r w:rsidRPr="00D11C96" w:rsidR="00430100">
        <w:rPr>
          <w:rFonts w:ascii="Garamond" w:hAnsi="Garamond"/>
          <w:sz w:val="22"/>
          <w:szCs w:val="22"/>
        </w:rPr>
        <w:t>de</w:t>
      </w:r>
      <w:r w:rsidRPr="00D11C96">
        <w:rPr>
          <w:rFonts w:ascii="Garamond" w:hAnsi="Garamond"/>
          <w:sz w:val="22"/>
          <w:szCs w:val="22"/>
        </w:rPr>
        <w:t xml:space="preserve"> 38´300.828</w:t>
      </w:r>
      <w:r w:rsidRPr="00D11C96" w:rsidR="00893A66">
        <w:rPr>
          <w:rFonts w:ascii="Garamond" w:hAnsi="Garamond"/>
          <w:sz w:val="22"/>
          <w:szCs w:val="22"/>
        </w:rPr>
        <w:t>.</w:t>
      </w:r>
      <w:r w:rsidR="00CF373C">
        <w:rPr>
          <w:rFonts w:ascii="Garamond" w:hAnsi="Garamond"/>
          <w:sz w:val="22"/>
          <w:szCs w:val="22"/>
        </w:rPr>
        <w:t xml:space="preserve"> </w:t>
      </w:r>
      <w:r w:rsidRPr="00D11C96">
        <w:rPr>
          <w:rFonts w:ascii="Garamond" w:hAnsi="Garamond"/>
          <w:sz w:val="22"/>
          <w:szCs w:val="22"/>
        </w:rPr>
        <w:t>Los nodos estratégicos de la red vial del departamento de Cundinamarca que se encuentran bajo la jurisdicción de la agencia nacional de infraestructura son: El municipio de Cabrera y San Bernardo, son los destinos predilectos luego de la ciudad de Girardot, remitiendo 10.115 y 8.145 respectivamente.</w:t>
      </w:r>
    </w:p>
    <w:p w:rsidR="007F512A" w:rsidP="007F512A" w:rsidRDefault="007F512A" w14:paraId="1965C1BE" w14:textId="7DDBFBD5">
      <w:pPr>
        <w:pStyle w:val="Caption"/>
        <w:keepNext/>
        <w:jc w:val="center"/>
      </w:pPr>
      <w:r>
        <w:t xml:space="preserve">Ilustración </w:t>
      </w:r>
      <w:r>
        <w:fldChar w:fldCharType="begin"/>
      </w:r>
      <w:r>
        <w:instrText xml:space="preserve"> SEQ Ilustración \* ARABIC </w:instrText>
      </w:r>
      <w:r>
        <w:fldChar w:fldCharType="separate"/>
      </w:r>
      <w:r w:rsidR="00FF34DC">
        <w:rPr>
          <w:noProof/>
        </w:rPr>
        <w:t>4</w:t>
      </w:r>
      <w:r>
        <w:fldChar w:fldCharType="end"/>
      </w:r>
      <w:r>
        <w:t>. Tráfico vehicular por peaje en las principales vías de Cundinamarca según ANI.</w:t>
      </w:r>
    </w:p>
    <w:p w:rsidR="000F650C" w:rsidP="00E41C2A" w:rsidRDefault="00B65B90" w14:paraId="4744D8DC" w14:textId="77777777">
      <w:pPr>
        <w:jc w:val="center"/>
        <w:rPr>
          <w:rFonts w:ascii="Garamond" w:hAnsi="Garamond"/>
          <w:sz w:val="22"/>
          <w:szCs w:val="22"/>
        </w:rPr>
      </w:pPr>
      <w:r w:rsidRPr="00D11C96">
        <w:rPr>
          <w:rFonts w:ascii="Garamond" w:hAnsi="Garamond"/>
          <w:noProof/>
          <w:sz w:val="22"/>
          <w:szCs w:val="22"/>
        </w:rPr>
        <w:drawing>
          <wp:inline distT="0" distB="0" distL="0" distR="0" wp14:anchorId="42D5BE05" wp14:editId="6D7B1037">
            <wp:extent cx="4378569" cy="1928255"/>
            <wp:effectExtent l="0" t="0" r="3175" b="0"/>
            <wp:docPr id="93366278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62782" name="Picture 1" descr="A graph of different colored bars&#10;&#10;AI-generated content may be incorrect."/>
                    <pic:cNvPicPr/>
                  </pic:nvPicPr>
                  <pic:blipFill>
                    <a:blip r:embed="rId15"/>
                    <a:stretch>
                      <a:fillRect/>
                    </a:stretch>
                  </pic:blipFill>
                  <pic:spPr>
                    <a:xfrm>
                      <a:off x="0" y="0"/>
                      <a:ext cx="4391452" cy="1933929"/>
                    </a:xfrm>
                    <a:prstGeom prst="rect">
                      <a:avLst/>
                    </a:prstGeom>
                  </pic:spPr>
                </pic:pic>
              </a:graphicData>
            </a:graphic>
          </wp:inline>
        </w:drawing>
      </w:r>
    </w:p>
    <w:p w:rsidRPr="00D11C96" w:rsidR="00D73589" w:rsidP="00D73589" w:rsidRDefault="00D73589" w14:paraId="756E4813" w14:textId="288D74EA">
      <w:pPr>
        <w:jc w:val="center"/>
        <w:rPr>
          <w:rFonts w:ascii="Garamond" w:hAnsi="Garamond" w:eastAsia="Garamond" w:cs="Garamond"/>
          <w:sz w:val="22"/>
          <w:szCs w:val="22"/>
        </w:rPr>
      </w:pPr>
      <w:r w:rsidRPr="00D11C96">
        <w:rPr>
          <w:rFonts w:ascii="Garamond" w:hAnsi="Garamond" w:cs="Arial"/>
          <w:sz w:val="20"/>
          <w:szCs w:val="20"/>
        </w:rPr>
        <w:t xml:space="preserve">Fuente: </w:t>
      </w:r>
      <w:r>
        <w:rPr>
          <w:rFonts w:ascii="Garamond" w:hAnsi="Garamond" w:cs="Arial"/>
          <w:sz w:val="20"/>
          <w:szCs w:val="20"/>
        </w:rPr>
        <w:t>IDECUT</w:t>
      </w:r>
      <w:r w:rsidRPr="00D11C96">
        <w:rPr>
          <w:rFonts w:ascii="Garamond" w:hAnsi="Garamond" w:cs="Arial"/>
          <w:sz w:val="20"/>
          <w:szCs w:val="20"/>
        </w:rPr>
        <w:t xml:space="preserve"> (20</w:t>
      </w:r>
      <w:r>
        <w:rPr>
          <w:rFonts w:ascii="Garamond" w:hAnsi="Garamond" w:cs="Arial"/>
          <w:sz w:val="20"/>
          <w:szCs w:val="20"/>
        </w:rPr>
        <w:t>24</w:t>
      </w:r>
      <w:r w:rsidRPr="00D11C96">
        <w:rPr>
          <w:rFonts w:ascii="Garamond" w:hAnsi="Garamond" w:cs="Arial"/>
          <w:sz w:val="20"/>
          <w:szCs w:val="20"/>
        </w:rPr>
        <w:t>)</w:t>
      </w:r>
    </w:p>
    <w:p w:rsidRPr="00D11C96" w:rsidR="00DD77D7" w:rsidP="00DD77D7" w:rsidRDefault="00DD77D7" w14:paraId="6C751D2E" w14:textId="77777777">
      <w:pPr>
        <w:jc w:val="both"/>
        <w:rPr>
          <w:rFonts w:ascii="Garamond" w:hAnsi="Garamond"/>
          <w:sz w:val="22"/>
          <w:szCs w:val="22"/>
        </w:rPr>
      </w:pPr>
      <w:r w:rsidRPr="00D11C96">
        <w:rPr>
          <w:rFonts w:ascii="Garamond" w:hAnsi="Garamond"/>
          <w:sz w:val="22"/>
          <w:szCs w:val="22"/>
        </w:rPr>
        <w:t>De forma similar, en el informe de IDECUT (2024), también se reporta información de Migración Colombia incluye datos del número de visitantes extranjeros que ingresan al departamento a través de los puestos de control migratorio terrestre.</w:t>
      </w:r>
    </w:p>
    <w:p w:rsidR="00AC1C29" w:rsidP="00AC1C29" w:rsidRDefault="00AC1C29" w14:paraId="64049571" w14:textId="5E1309C0">
      <w:pPr>
        <w:pStyle w:val="Caption"/>
        <w:keepNext/>
        <w:jc w:val="center"/>
      </w:pPr>
      <w:r>
        <w:t xml:space="preserve">Tabla </w:t>
      </w:r>
      <w:r>
        <w:fldChar w:fldCharType="begin"/>
      </w:r>
      <w:r>
        <w:instrText xml:space="preserve"> SEQ Tabla \* ARABIC </w:instrText>
      </w:r>
      <w:r>
        <w:fldChar w:fldCharType="separate"/>
      </w:r>
      <w:r w:rsidR="006E2525">
        <w:rPr>
          <w:noProof/>
        </w:rPr>
        <w:t>11</w:t>
      </w:r>
      <w:r>
        <w:fldChar w:fldCharType="end"/>
      </w:r>
      <w:r>
        <w:t xml:space="preserve">. Número </w:t>
      </w:r>
      <w:r w:rsidRPr="00123972">
        <w:t>de visitantes extranjeros que ingresan al departamento</w:t>
      </w:r>
    </w:p>
    <w:tbl>
      <w:tblPr>
        <w:tblW w:w="5000" w:type="pct"/>
        <w:tblLook w:val="04A0" w:firstRow="1" w:lastRow="0" w:firstColumn="1" w:lastColumn="0" w:noHBand="0" w:noVBand="1"/>
      </w:tblPr>
      <w:tblGrid>
        <w:gridCol w:w="1429"/>
        <w:gridCol w:w="4778"/>
        <w:gridCol w:w="3143"/>
      </w:tblGrid>
      <w:tr w:rsidRPr="00AC1C29" w:rsidR="00250DA4" w:rsidTr="00FD4256" w14:paraId="3B1D936F" w14:textId="77777777">
        <w:trPr>
          <w:trHeight w:val="324"/>
        </w:trPr>
        <w:tc>
          <w:tcPr>
            <w:tcW w:w="764" w:type="pct"/>
            <w:tcBorders>
              <w:top w:val="single" w:color="000000" w:sz="4" w:space="0"/>
              <w:left w:val="single" w:color="000000" w:sz="4" w:space="0"/>
              <w:bottom w:val="single" w:color="000000" w:sz="4" w:space="0"/>
              <w:right w:val="single" w:color="000000" w:sz="4" w:space="0"/>
            </w:tcBorders>
            <w:hideMark/>
          </w:tcPr>
          <w:p w:rsidRPr="00AC1C29" w:rsidR="00FD4256" w:rsidP="00FD4256" w:rsidRDefault="00FD4256" w14:paraId="2BAA8FD4"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No.</w:t>
            </w:r>
          </w:p>
        </w:tc>
        <w:tc>
          <w:tcPr>
            <w:tcW w:w="2555" w:type="pct"/>
            <w:tcBorders>
              <w:top w:val="single" w:color="000000" w:sz="4" w:space="0"/>
              <w:left w:val="nil"/>
              <w:bottom w:val="single" w:color="000000" w:sz="4" w:space="0"/>
              <w:right w:val="single" w:color="000000" w:sz="4" w:space="0"/>
            </w:tcBorders>
            <w:hideMark/>
          </w:tcPr>
          <w:p w:rsidRPr="00AC1C29" w:rsidR="00FD4256" w:rsidP="00FD4256" w:rsidRDefault="00FD4256" w14:paraId="495C942D"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País</w:t>
            </w:r>
          </w:p>
        </w:tc>
        <w:tc>
          <w:tcPr>
            <w:tcW w:w="1681" w:type="pct"/>
            <w:tcBorders>
              <w:top w:val="single" w:color="000000" w:sz="4" w:space="0"/>
              <w:left w:val="nil"/>
              <w:bottom w:val="single" w:color="000000" w:sz="4" w:space="0"/>
              <w:right w:val="single" w:color="000000" w:sz="4" w:space="0"/>
            </w:tcBorders>
            <w:hideMark/>
          </w:tcPr>
          <w:p w:rsidRPr="00AC1C29" w:rsidR="00FD4256" w:rsidP="00FD4256" w:rsidRDefault="00FD4256" w14:paraId="7FAD6C38"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Cantidad</w:t>
            </w:r>
          </w:p>
        </w:tc>
      </w:tr>
      <w:tr w:rsidRPr="00AC1C29" w:rsidR="00250DA4" w:rsidTr="00FD4256" w14:paraId="3EAF3B2A"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78ADE329"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1F093EE"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Estados Unidos</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567EB00"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7.936</w:t>
            </w:r>
          </w:p>
        </w:tc>
      </w:tr>
      <w:tr w:rsidRPr="00AC1C29" w:rsidR="00250DA4" w:rsidTr="00FD4256" w14:paraId="491A4BAA"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637D7DC4"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04EBB4B"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Venezuela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7740616"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5.729</w:t>
            </w:r>
          </w:p>
        </w:tc>
      </w:tr>
      <w:tr w:rsidRPr="00AC1C29" w:rsidR="00250DA4" w:rsidTr="00FD4256" w14:paraId="7131BF72"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0D59227"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C548A07"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México</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24020AA"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3.564</w:t>
            </w:r>
          </w:p>
        </w:tc>
      </w:tr>
      <w:tr w:rsidRPr="00AC1C29" w:rsidR="00250DA4" w:rsidTr="00FD4256" w14:paraId="622C9B1C"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C8A604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4</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39BF82F"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Ecuador</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118CD0A2"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2.101</w:t>
            </w:r>
          </w:p>
        </w:tc>
      </w:tr>
      <w:tr w:rsidRPr="00AC1C29" w:rsidR="00250DA4" w:rsidTr="00FD4256" w14:paraId="53957BEE"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64476D37"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5</w:t>
            </w:r>
          </w:p>
        </w:tc>
        <w:tc>
          <w:tcPr>
            <w:tcW w:w="2555" w:type="pct"/>
            <w:tcBorders>
              <w:top w:val="nil"/>
              <w:left w:val="nil"/>
              <w:bottom w:val="single" w:color="000000" w:sz="4" w:space="0"/>
              <w:right w:val="single" w:color="000000" w:sz="4" w:space="0"/>
            </w:tcBorders>
            <w:hideMark/>
          </w:tcPr>
          <w:p w:rsidRPr="00AC1C29" w:rsidR="00FD4256" w:rsidP="00FD4256" w:rsidRDefault="00FD4256" w14:paraId="2335D456"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Perú</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631FBCA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1.448</w:t>
            </w:r>
          </w:p>
        </w:tc>
      </w:tr>
      <w:tr w:rsidRPr="00AC1C29" w:rsidR="00250DA4" w:rsidTr="00FD4256" w14:paraId="5541B5F7"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8C03FD1"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6</w:t>
            </w:r>
          </w:p>
        </w:tc>
        <w:tc>
          <w:tcPr>
            <w:tcW w:w="2555" w:type="pct"/>
            <w:tcBorders>
              <w:top w:val="nil"/>
              <w:left w:val="nil"/>
              <w:bottom w:val="single" w:color="000000" w:sz="4" w:space="0"/>
              <w:right w:val="single" w:color="000000" w:sz="4" w:space="0"/>
            </w:tcBorders>
            <w:hideMark/>
          </w:tcPr>
          <w:p w:rsidRPr="00AC1C29" w:rsidR="00FD4256" w:rsidP="00FD4256" w:rsidRDefault="00FD4256" w14:paraId="725CED0B"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Brasil</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71FEC112"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1.229</w:t>
            </w:r>
          </w:p>
        </w:tc>
      </w:tr>
      <w:tr w:rsidRPr="00AC1C29" w:rsidR="00250DA4" w:rsidTr="00FD4256" w14:paraId="778F4415"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54EEAA42"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7</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306848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España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C175E7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1.218</w:t>
            </w:r>
          </w:p>
        </w:tc>
      </w:tr>
      <w:tr w:rsidRPr="00AC1C29" w:rsidR="00250DA4" w:rsidTr="00FD4256" w14:paraId="4B460747"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E33BF7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8</w:t>
            </w:r>
          </w:p>
        </w:tc>
        <w:tc>
          <w:tcPr>
            <w:tcW w:w="2555" w:type="pct"/>
            <w:tcBorders>
              <w:top w:val="nil"/>
              <w:left w:val="nil"/>
              <w:bottom w:val="single" w:color="000000" w:sz="4" w:space="0"/>
              <w:right w:val="single" w:color="000000" w:sz="4" w:space="0"/>
            </w:tcBorders>
            <w:hideMark/>
          </w:tcPr>
          <w:p w:rsidRPr="00AC1C29" w:rsidR="00FD4256" w:rsidP="00FD4256" w:rsidRDefault="00FD4256" w14:paraId="3244BFA6"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Chile</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12791C7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1.123</w:t>
            </w:r>
          </w:p>
        </w:tc>
      </w:tr>
      <w:tr w:rsidRPr="00AC1C29" w:rsidR="00250DA4" w:rsidTr="00FD4256" w14:paraId="1170C241"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589206E8"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9</w:t>
            </w:r>
          </w:p>
        </w:tc>
        <w:tc>
          <w:tcPr>
            <w:tcW w:w="2555" w:type="pct"/>
            <w:tcBorders>
              <w:top w:val="nil"/>
              <w:left w:val="nil"/>
              <w:bottom w:val="single" w:color="000000" w:sz="4" w:space="0"/>
              <w:right w:val="single" w:color="000000" w:sz="4" w:space="0"/>
            </w:tcBorders>
            <w:hideMark/>
          </w:tcPr>
          <w:p w:rsidRPr="00AC1C29" w:rsidR="00FD4256" w:rsidP="00FD4256" w:rsidRDefault="00FD4256" w14:paraId="751FE37F"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Argentina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63676A95"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1.080</w:t>
            </w:r>
          </w:p>
        </w:tc>
      </w:tr>
      <w:tr w:rsidRPr="00AC1C29" w:rsidR="00250DA4" w:rsidTr="00FD4256" w14:paraId="406E0634"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DD8EF36"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10</w:t>
            </w:r>
          </w:p>
        </w:tc>
        <w:tc>
          <w:tcPr>
            <w:tcW w:w="2555" w:type="pct"/>
            <w:tcBorders>
              <w:top w:val="nil"/>
              <w:left w:val="nil"/>
              <w:bottom w:val="single" w:color="000000" w:sz="4" w:space="0"/>
              <w:right w:val="single" w:color="000000" w:sz="4" w:space="0"/>
            </w:tcBorders>
            <w:hideMark/>
          </w:tcPr>
          <w:p w:rsidRPr="00AC1C29" w:rsidR="00FD4256" w:rsidP="00FD4256" w:rsidRDefault="00FD4256" w14:paraId="765DBBE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Panamá</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4FEDCEC"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902</w:t>
            </w:r>
          </w:p>
        </w:tc>
      </w:tr>
      <w:tr w:rsidRPr="00AC1C29" w:rsidR="00250DA4" w:rsidTr="00FD4256" w14:paraId="6825B610"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57F0C2C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11</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A6CDD27"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Costa Rica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D6CF5FC"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837</w:t>
            </w:r>
          </w:p>
        </w:tc>
      </w:tr>
      <w:tr w:rsidRPr="00AC1C29" w:rsidR="00250DA4" w:rsidTr="00FD4256" w14:paraId="3E2E4B20"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09C664C6"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12</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B14B50E"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Alemania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472AB9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820</w:t>
            </w:r>
          </w:p>
        </w:tc>
      </w:tr>
      <w:tr w:rsidRPr="00AC1C29" w:rsidR="00250DA4" w:rsidTr="00FD4256" w14:paraId="4B6D90CD"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104E118"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13</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33C20BA"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Canadá</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34C02C3B"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775</w:t>
            </w:r>
          </w:p>
        </w:tc>
      </w:tr>
      <w:tr w:rsidRPr="00AC1C29" w:rsidR="00250DA4" w:rsidTr="00FD4256" w14:paraId="4F1A6CE1"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558F040"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14</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00590AF"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Francia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708C3D5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649</w:t>
            </w:r>
          </w:p>
        </w:tc>
      </w:tr>
      <w:tr w:rsidRPr="00AC1C29" w:rsidR="00250DA4" w:rsidTr="00FD4256" w14:paraId="5EE75761"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3CFCA9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15</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59B7D9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República Dominicana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92EAE7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632</w:t>
            </w:r>
          </w:p>
        </w:tc>
      </w:tr>
      <w:tr w:rsidRPr="00AC1C29" w:rsidR="00250DA4" w:rsidTr="00FD4256" w14:paraId="4DFF715D"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6C1009C4"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16</w:t>
            </w:r>
          </w:p>
        </w:tc>
        <w:tc>
          <w:tcPr>
            <w:tcW w:w="2555" w:type="pct"/>
            <w:tcBorders>
              <w:top w:val="nil"/>
              <w:left w:val="nil"/>
              <w:bottom w:val="single" w:color="000000" w:sz="4" w:space="0"/>
              <w:right w:val="single" w:color="000000" w:sz="4" w:space="0"/>
            </w:tcBorders>
            <w:hideMark/>
          </w:tcPr>
          <w:p w:rsidRPr="00AC1C29" w:rsidR="00FD4256" w:rsidP="00FD4256" w:rsidRDefault="00FD4256" w14:paraId="3E5382C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Italia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24CC55AC"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542</w:t>
            </w:r>
          </w:p>
        </w:tc>
      </w:tr>
      <w:tr w:rsidRPr="00AC1C29" w:rsidR="00250DA4" w:rsidTr="00FD4256" w14:paraId="330216DD"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5BACDA5F"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17</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1424355"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Países Bajos</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361DDF08"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511</w:t>
            </w:r>
          </w:p>
        </w:tc>
      </w:tr>
      <w:tr w:rsidRPr="00AC1C29" w:rsidR="00250DA4" w:rsidTr="00FD4256" w14:paraId="4E68EEAF"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7233F7C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18</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EB5387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Guatemala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1943859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388</w:t>
            </w:r>
          </w:p>
        </w:tc>
      </w:tr>
      <w:tr w:rsidRPr="00AC1C29" w:rsidR="00250DA4" w:rsidTr="00FD4256" w14:paraId="64801A56"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A99A0F1"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19</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2C01092"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Reino Unido</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7D4894C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379</w:t>
            </w:r>
          </w:p>
        </w:tc>
      </w:tr>
      <w:tr w:rsidRPr="00AC1C29" w:rsidR="00250DA4" w:rsidTr="00FD4256" w14:paraId="00C2E35E"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17F4E41"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20</w:t>
            </w:r>
          </w:p>
        </w:tc>
        <w:tc>
          <w:tcPr>
            <w:tcW w:w="2555" w:type="pct"/>
            <w:tcBorders>
              <w:top w:val="nil"/>
              <w:left w:val="nil"/>
              <w:bottom w:val="single" w:color="000000" w:sz="4" w:space="0"/>
              <w:right w:val="single" w:color="000000" w:sz="4" w:space="0"/>
            </w:tcBorders>
            <w:hideMark/>
          </w:tcPr>
          <w:p w:rsidRPr="00AC1C29" w:rsidR="00FD4256" w:rsidP="00FD4256" w:rsidRDefault="00FD4256" w14:paraId="2BE9D48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Honduras</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48A17E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255</w:t>
            </w:r>
          </w:p>
        </w:tc>
      </w:tr>
      <w:tr w:rsidRPr="00AC1C29" w:rsidR="00250DA4" w:rsidTr="00FD4256" w14:paraId="3B97515A"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F992B58"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21</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220B087"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Bolivia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7B20FD0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246</w:t>
            </w:r>
          </w:p>
        </w:tc>
      </w:tr>
      <w:tr w:rsidRPr="00AC1C29" w:rsidR="00250DA4" w:rsidTr="00FD4256" w14:paraId="1F7A5143"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3718CDE0"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22</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D9EDE98"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El Salvador</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62CE4D5A"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220</w:t>
            </w:r>
          </w:p>
        </w:tc>
      </w:tr>
      <w:tr w:rsidRPr="00AC1C29" w:rsidR="00250DA4" w:rsidTr="00FD4256" w14:paraId="2F42B609"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328C2978"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23</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61FA7E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Suiza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77A05F0"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213</w:t>
            </w:r>
          </w:p>
        </w:tc>
      </w:tr>
      <w:tr w:rsidRPr="00AC1C29" w:rsidR="00250DA4" w:rsidTr="00FD4256" w14:paraId="5B0C06EF"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D4E35B0"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24</w:t>
            </w:r>
          </w:p>
        </w:tc>
        <w:tc>
          <w:tcPr>
            <w:tcW w:w="2555" w:type="pct"/>
            <w:tcBorders>
              <w:top w:val="nil"/>
              <w:left w:val="nil"/>
              <w:bottom w:val="single" w:color="000000" w:sz="4" w:space="0"/>
              <w:right w:val="single" w:color="000000" w:sz="4" w:space="0"/>
            </w:tcBorders>
            <w:hideMark/>
          </w:tcPr>
          <w:p w:rsidRPr="00AC1C29" w:rsidR="00FD4256" w:rsidP="00FD4256" w:rsidRDefault="00FD4256" w14:paraId="2C6E602E"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Australia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216C83E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172</w:t>
            </w:r>
          </w:p>
        </w:tc>
      </w:tr>
      <w:tr w:rsidRPr="00AC1C29" w:rsidR="00250DA4" w:rsidTr="00FD4256" w14:paraId="75FB3ED8"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7772E180"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25</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D41F42C"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Uruguay</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3640FB7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140</w:t>
            </w:r>
          </w:p>
        </w:tc>
      </w:tr>
      <w:tr w:rsidRPr="00AC1C29" w:rsidR="00250DA4" w:rsidTr="00FD4256" w14:paraId="2DB8882B"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2A6DD07"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26</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67A396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Portugal</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69F9C2F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135</w:t>
            </w:r>
          </w:p>
        </w:tc>
      </w:tr>
      <w:tr w:rsidRPr="00AC1C29" w:rsidR="00250DA4" w:rsidTr="00FD4256" w14:paraId="4707DD83"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B4CB3B0"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27</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8962726"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Paraguay</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6368D03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116</w:t>
            </w:r>
          </w:p>
        </w:tc>
      </w:tr>
      <w:tr w:rsidRPr="00AC1C29" w:rsidR="00250DA4" w:rsidTr="00FD4256" w14:paraId="44CB56DB"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3C9D225"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28</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08F89F7"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China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5DACAF3B"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115</w:t>
            </w:r>
          </w:p>
        </w:tc>
      </w:tr>
      <w:tr w:rsidRPr="00AC1C29" w:rsidR="00250DA4" w:rsidTr="00FD4256" w14:paraId="3A4FD95C"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47CFE307"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29</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D456AB9"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Suecia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3B1BF341"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104</w:t>
            </w:r>
          </w:p>
        </w:tc>
      </w:tr>
      <w:tr w:rsidRPr="00AC1C29" w:rsidR="00250DA4" w:rsidTr="00FD4256" w14:paraId="03D06250"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2452629C"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30</w:t>
            </w:r>
          </w:p>
        </w:tc>
        <w:tc>
          <w:tcPr>
            <w:tcW w:w="2555" w:type="pct"/>
            <w:tcBorders>
              <w:top w:val="nil"/>
              <w:left w:val="nil"/>
              <w:bottom w:val="single" w:color="000000" w:sz="4" w:space="0"/>
              <w:right w:val="single" w:color="000000" w:sz="4" w:space="0"/>
            </w:tcBorders>
            <w:hideMark/>
          </w:tcPr>
          <w:p w:rsidRPr="00AC1C29" w:rsidR="00FD4256" w:rsidP="00FD4256" w:rsidRDefault="00FD4256" w14:paraId="079DB96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Bélgica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8DDE61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86</w:t>
            </w:r>
          </w:p>
        </w:tc>
      </w:tr>
      <w:tr w:rsidRPr="00AC1C29" w:rsidR="00250DA4" w:rsidTr="00FD4256" w14:paraId="67A160FE"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6C5850C1"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31</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31EF71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India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25F94A3A"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86</w:t>
            </w:r>
          </w:p>
        </w:tc>
      </w:tr>
      <w:tr w:rsidRPr="00AC1C29" w:rsidR="00250DA4" w:rsidTr="00FD4256" w14:paraId="79AA343F"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3512ECE1"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32</w:t>
            </w:r>
          </w:p>
        </w:tc>
        <w:tc>
          <w:tcPr>
            <w:tcW w:w="2555" w:type="pct"/>
            <w:tcBorders>
              <w:top w:val="nil"/>
              <w:left w:val="nil"/>
              <w:bottom w:val="single" w:color="000000" w:sz="4" w:space="0"/>
              <w:right w:val="single" w:color="000000" w:sz="4" w:space="0"/>
            </w:tcBorders>
            <w:hideMark/>
          </w:tcPr>
          <w:p w:rsidRPr="00AC1C29" w:rsidR="00FD4256" w:rsidP="00FD4256" w:rsidRDefault="00FD4256" w14:paraId="32165033"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Japón</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1D0F93EA"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80</w:t>
            </w:r>
          </w:p>
        </w:tc>
      </w:tr>
      <w:tr w:rsidRPr="00AC1C29" w:rsidR="00250DA4" w:rsidTr="00FD4256" w14:paraId="2F098AFF"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1A35697"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33</w:t>
            </w:r>
          </w:p>
        </w:tc>
        <w:tc>
          <w:tcPr>
            <w:tcW w:w="2555" w:type="pct"/>
            <w:tcBorders>
              <w:top w:val="nil"/>
              <w:left w:val="nil"/>
              <w:bottom w:val="single" w:color="000000" w:sz="4" w:space="0"/>
              <w:right w:val="single" w:color="000000" w:sz="4" w:space="0"/>
            </w:tcBorders>
            <w:hideMark/>
          </w:tcPr>
          <w:p w:rsidRPr="00AC1C29" w:rsidR="00FD4256" w:rsidP="00FD4256" w:rsidRDefault="00FD4256" w14:paraId="423DA284"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Austria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51907C9E"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73</w:t>
            </w:r>
          </w:p>
        </w:tc>
      </w:tr>
      <w:tr w:rsidRPr="00AC1C29" w:rsidR="00250DA4" w:rsidTr="00FD4256" w14:paraId="4666840F"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1C262B0F"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34</w:t>
            </w:r>
          </w:p>
        </w:tc>
        <w:tc>
          <w:tcPr>
            <w:tcW w:w="2555" w:type="pct"/>
            <w:tcBorders>
              <w:top w:val="nil"/>
              <w:left w:val="nil"/>
              <w:bottom w:val="single" w:color="000000" w:sz="4" w:space="0"/>
              <w:right w:val="single" w:color="000000" w:sz="4" w:space="0"/>
            </w:tcBorders>
            <w:hideMark/>
          </w:tcPr>
          <w:p w:rsidRPr="00AC1C29" w:rsidR="00FD4256" w:rsidP="00FD4256" w:rsidRDefault="00FD4256" w14:paraId="7F4EB0CB"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Cuba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08E14D7E"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73</w:t>
            </w:r>
          </w:p>
        </w:tc>
      </w:tr>
      <w:tr w:rsidRPr="00AC1C29" w:rsidR="00250DA4" w:rsidTr="00FD4256" w14:paraId="3FD7C6C4"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65E51082"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35</w:t>
            </w:r>
          </w:p>
        </w:tc>
        <w:tc>
          <w:tcPr>
            <w:tcW w:w="2555" w:type="pct"/>
            <w:tcBorders>
              <w:top w:val="nil"/>
              <w:left w:val="nil"/>
              <w:bottom w:val="single" w:color="000000" w:sz="4" w:space="0"/>
              <w:right w:val="single" w:color="000000" w:sz="4" w:space="0"/>
            </w:tcBorders>
            <w:hideMark/>
          </w:tcPr>
          <w:p w:rsidRPr="00AC1C29" w:rsidR="00FD4256" w:rsidP="00FD4256" w:rsidRDefault="00FD4256" w14:paraId="1FB73BFF"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Rusia</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53856746"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72</w:t>
            </w:r>
          </w:p>
        </w:tc>
      </w:tr>
      <w:tr w:rsidRPr="00AC1C29" w:rsidR="00250DA4" w:rsidTr="00FD4256" w14:paraId="7F76262B" w14:textId="77777777">
        <w:trPr>
          <w:trHeight w:val="315"/>
        </w:trPr>
        <w:tc>
          <w:tcPr>
            <w:tcW w:w="764" w:type="pct"/>
            <w:tcBorders>
              <w:top w:val="nil"/>
              <w:left w:val="single" w:color="000000" w:sz="4" w:space="0"/>
              <w:bottom w:val="single" w:color="000000" w:sz="4" w:space="0"/>
              <w:right w:val="single" w:color="000000" w:sz="4" w:space="0"/>
            </w:tcBorders>
            <w:noWrap/>
            <w:hideMark/>
          </w:tcPr>
          <w:p w:rsidRPr="00AC1C29" w:rsidR="00FD4256" w:rsidP="00FD4256" w:rsidRDefault="00FD4256" w14:paraId="53F11AFA"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36</w:t>
            </w:r>
          </w:p>
        </w:tc>
        <w:tc>
          <w:tcPr>
            <w:tcW w:w="2555" w:type="pct"/>
            <w:tcBorders>
              <w:top w:val="nil"/>
              <w:left w:val="nil"/>
              <w:bottom w:val="single" w:color="000000" w:sz="4" w:space="0"/>
              <w:right w:val="single" w:color="000000" w:sz="4" w:space="0"/>
            </w:tcBorders>
            <w:hideMark/>
          </w:tcPr>
          <w:p w:rsidRPr="00AC1C29" w:rsidR="00FD4256" w:rsidP="00FD4256" w:rsidRDefault="00FD4256" w14:paraId="63A4D77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Otros</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45EBBB1D" w14:textId="77777777">
            <w:pPr>
              <w:spacing w:after="0" w:line="240" w:lineRule="auto"/>
              <w:jc w:val="center"/>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855</w:t>
            </w:r>
          </w:p>
        </w:tc>
      </w:tr>
      <w:tr w:rsidRPr="00AC1C29" w:rsidR="00250DA4" w:rsidTr="00FD4256" w14:paraId="17F8B96B" w14:textId="77777777">
        <w:trPr>
          <w:trHeight w:val="315"/>
        </w:trPr>
        <w:tc>
          <w:tcPr>
            <w:tcW w:w="764" w:type="pct"/>
            <w:tcBorders>
              <w:top w:val="nil"/>
              <w:left w:val="single" w:color="000000" w:sz="4" w:space="0"/>
              <w:bottom w:val="single" w:color="000000" w:sz="4" w:space="0"/>
              <w:right w:val="single" w:color="000000" w:sz="4" w:space="0"/>
            </w:tcBorders>
            <w:hideMark/>
          </w:tcPr>
          <w:p w:rsidRPr="00AC1C29" w:rsidR="00FD4256" w:rsidP="00FD4256" w:rsidRDefault="00FD4256" w14:paraId="72A32944"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Total</w:t>
            </w:r>
          </w:p>
        </w:tc>
        <w:tc>
          <w:tcPr>
            <w:tcW w:w="2555" w:type="pct"/>
            <w:tcBorders>
              <w:top w:val="nil"/>
              <w:left w:val="nil"/>
              <w:bottom w:val="single" w:color="000000" w:sz="4" w:space="0"/>
              <w:right w:val="single" w:color="000000" w:sz="4" w:space="0"/>
            </w:tcBorders>
            <w:vAlign w:val="bottom"/>
            <w:hideMark/>
          </w:tcPr>
          <w:p w:rsidRPr="00AC1C29" w:rsidR="00FD4256" w:rsidP="00FD4256" w:rsidRDefault="00FD4256" w14:paraId="78731A66" w14:textId="77777777">
            <w:pPr>
              <w:spacing w:after="0" w:line="240" w:lineRule="auto"/>
              <w:rPr>
                <w:rFonts w:ascii="Garamond" w:hAnsi="Garamond" w:eastAsia="Times New Roman" w:cs="Times New Roman"/>
                <w:kern w:val="0"/>
                <w:sz w:val="20"/>
                <w:szCs w:val="20"/>
                <w14:ligatures w14:val="none"/>
              </w:rPr>
            </w:pPr>
            <w:r w:rsidRPr="00AC1C29">
              <w:rPr>
                <w:rFonts w:ascii="Garamond" w:hAnsi="Garamond" w:eastAsia="Times New Roman" w:cs="Times New Roman"/>
                <w:kern w:val="0"/>
                <w:sz w:val="20"/>
                <w:szCs w:val="20"/>
                <w14:ligatures w14:val="none"/>
              </w:rPr>
              <w:t> </w:t>
            </w:r>
          </w:p>
        </w:tc>
        <w:tc>
          <w:tcPr>
            <w:tcW w:w="1681" w:type="pct"/>
            <w:tcBorders>
              <w:top w:val="nil"/>
              <w:left w:val="nil"/>
              <w:bottom w:val="single" w:color="000000" w:sz="4" w:space="0"/>
              <w:right w:val="single" w:color="000000" w:sz="4" w:space="0"/>
            </w:tcBorders>
            <w:noWrap/>
            <w:hideMark/>
          </w:tcPr>
          <w:p w:rsidRPr="00AC1C29" w:rsidR="00FD4256" w:rsidP="00FD4256" w:rsidRDefault="00FD4256" w14:paraId="72C8AF44" w14:textId="77777777">
            <w:pPr>
              <w:spacing w:after="0" w:line="240" w:lineRule="auto"/>
              <w:jc w:val="center"/>
              <w:rPr>
                <w:rFonts w:ascii="Garamond" w:hAnsi="Garamond" w:eastAsia="Times New Roman" w:cs="Arial"/>
                <w:b/>
                <w:bCs/>
                <w:kern w:val="0"/>
                <w:sz w:val="20"/>
                <w:szCs w:val="20"/>
                <w14:ligatures w14:val="none"/>
              </w:rPr>
            </w:pPr>
            <w:r w:rsidRPr="00AC1C29">
              <w:rPr>
                <w:rFonts w:ascii="Garamond" w:hAnsi="Garamond" w:eastAsia="Times New Roman" w:cs="Arial"/>
                <w:b/>
                <w:bCs/>
                <w:kern w:val="0"/>
                <w:sz w:val="20"/>
                <w:szCs w:val="20"/>
                <w14:ligatures w14:val="none"/>
              </w:rPr>
              <w:t>34.904</w:t>
            </w:r>
          </w:p>
        </w:tc>
      </w:tr>
    </w:tbl>
    <w:p w:rsidRPr="00D11C96" w:rsidR="00AC1C29" w:rsidP="00AC1C29" w:rsidRDefault="00AC1C29" w14:paraId="381D7C95" w14:textId="2CF68F1D">
      <w:pPr>
        <w:jc w:val="center"/>
        <w:rPr>
          <w:rFonts w:ascii="Garamond" w:hAnsi="Garamond" w:eastAsia="Garamond" w:cs="Garamond"/>
          <w:sz w:val="22"/>
          <w:szCs w:val="22"/>
        </w:rPr>
      </w:pPr>
      <w:r w:rsidRPr="00D11C96">
        <w:rPr>
          <w:rFonts w:ascii="Garamond" w:hAnsi="Garamond" w:cs="Arial"/>
          <w:sz w:val="20"/>
          <w:szCs w:val="20"/>
        </w:rPr>
        <w:t xml:space="preserve">Fuente: </w:t>
      </w:r>
      <w:r>
        <w:rPr>
          <w:rFonts w:ascii="Garamond" w:hAnsi="Garamond" w:cs="Arial"/>
          <w:sz w:val="20"/>
          <w:szCs w:val="20"/>
        </w:rPr>
        <w:t>IDECUT</w:t>
      </w:r>
      <w:r w:rsidRPr="00D11C96">
        <w:rPr>
          <w:rFonts w:ascii="Garamond" w:hAnsi="Garamond" w:cs="Arial"/>
          <w:sz w:val="20"/>
          <w:szCs w:val="20"/>
        </w:rPr>
        <w:t xml:space="preserve"> (20</w:t>
      </w:r>
      <w:r>
        <w:rPr>
          <w:rFonts w:ascii="Garamond" w:hAnsi="Garamond" w:cs="Arial"/>
          <w:sz w:val="20"/>
          <w:szCs w:val="20"/>
        </w:rPr>
        <w:t>24</w:t>
      </w:r>
      <w:r w:rsidRPr="00D11C96">
        <w:rPr>
          <w:rFonts w:ascii="Garamond" w:hAnsi="Garamond" w:cs="Arial"/>
          <w:sz w:val="20"/>
          <w:szCs w:val="20"/>
        </w:rPr>
        <w:t>)</w:t>
      </w:r>
    </w:p>
    <w:p w:rsidRPr="00D11C96" w:rsidR="000D6F00" w:rsidP="007D208C" w:rsidRDefault="000D6F00" w14:paraId="29490859" w14:textId="4282FEA8">
      <w:pPr>
        <w:jc w:val="both"/>
        <w:rPr>
          <w:rFonts w:ascii="Garamond" w:hAnsi="Garamond"/>
          <w:sz w:val="22"/>
          <w:szCs w:val="22"/>
        </w:rPr>
      </w:pPr>
      <w:r w:rsidRPr="00D11C96">
        <w:rPr>
          <w:rFonts w:ascii="Garamond" w:hAnsi="Garamond"/>
          <w:sz w:val="22"/>
          <w:szCs w:val="22"/>
        </w:rPr>
        <w:t>En 2024, la llegada de visitantes extranjeros a Cundinamarca estuvo liderada por turistas del continente americano —principalmente de Estados Unidos, Venezuela, México, Ecuador y Perú— debido a la cercanía geográfica, la conectividad aérea, los vínculos comerciales y el turismo de retorno asociado a comunidades colombianas en estos países. Aunque en menor proporción, Europa también tuvo una presencia significativa, destacándose España, Alemania y Francia, cuyos flujos responden a lazos históricos y culturales, afinidad lingüística y al creciente interés europeo por América Latina, reforzado por estrategias de promoción y cooperación turística.</w:t>
      </w:r>
    </w:p>
    <w:p w:rsidRPr="00D11C96" w:rsidR="00DD77D7" w:rsidP="00DD77D7" w:rsidRDefault="00295163" w14:paraId="1BC068C4" w14:textId="265A3FF2">
      <w:pPr>
        <w:jc w:val="both"/>
        <w:rPr>
          <w:rFonts w:ascii="Garamond" w:hAnsi="Garamond"/>
          <w:sz w:val="22"/>
          <w:szCs w:val="22"/>
        </w:rPr>
      </w:pPr>
      <w:r w:rsidRPr="00D11C96">
        <w:rPr>
          <w:rFonts w:ascii="Garamond" w:hAnsi="Garamond"/>
          <w:sz w:val="22"/>
          <w:szCs w:val="22"/>
        </w:rPr>
        <w:t xml:space="preserve">De acuerdo, con estas cifras, si bien las directrices no reglamentan </w:t>
      </w:r>
      <w:r w:rsidRPr="00D11C96" w:rsidR="002051B7">
        <w:rPr>
          <w:rFonts w:ascii="Garamond" w:hAnsi="Garamond"/>
          <w:sz w:val="22"/>
          <w:szCs w:val="22"/>
        </w:rPr>
        <w:t>directamente el turismo en la Sabana de Bogotá, al</w:t>
      </w:r>
      <w:r w:rsidRPr="00D11C96" w:rsidR="00A604D4">
        <w:rPr>
          <w:rFonts w:ascii="Garamond" w:hAnsi="Garamond"/>
          <w:sz w:val="22"/>
          <w:szCs w:val="22"/>
        </w:rPr>
        <w:t xml:space="preserve"> propend</w:t>
      </w:r>
      <w:r w:rsidRPr="00D11C96" w:rsidR="002051B7">
        <w:rPr>
          <w:rFonts w:ascii="Garamond" w:hAnsi="Garamond"/>
          <w:sz w:val="22"/>
          <w:szCs w:val="22"/>
        </w:rPr>
        <w:t>er</w:t>
      </w:r>
      <w:r w:rsidRPr="00D11C96" w:rsidR="00345F3E">
        <w:rPr>
          <w:rFonts w:ascii="Garamond" w:hAnsi="Garamond"/>
          <w:sz w:val="22"/>
          <w:szCs w:val="22"/>
        </w:rPr>
        <w:t xml:space="preserve"> por</w:t>
      </w:r>
      <w:r w:rsidRPr="00D11C96" w:rsidR="00A604D4">
        <w:rPr>
          <w:rFonts w:ascii="Garamond" w:hAnsi="Garamond"/>
          <w:sz w:val="22"/>
          <w:szCs w:val="22"/>
        </w:rPr>
        <w:t xml:space="preserve"> la protección, restauración de humedales y renaturalización de ríos a la par en que se fortalezcan redes, comunidades y saberes ambientales, campesinas e indígenas, factores claves no solo para los ecosistemas de la Sabana, también </w:t>
      </w:r>
      <w:r w:rsidRPr="00D11C96" w:rsidR="0041509E">
        <w:rPr>
          <w:rFonts w:ascii="Garamond" w:hAnsi="Garamond"/>
          <w:sz w:val="22"/>
          <w:szCs w:val="22"/>
        </w:rPr>
        <w:t xml:space="preserve">se </w:t>
      </w:r>
      <w:r w:rsidRPr="00D11C96" w:rsidR="008445E8">
        <w:rPr>
          <w:rFonts w:ascii="Garamond" w:hAnsi="Garamond"/>
          <w:sz w:val="22"/>
          <w:szCs w:val="22"/>
        </w:rPr>
        <w:t>está</w:t>
      </w:r>
      <w:r w:rsidRPr="00D11C96" w:rsidR="0041509E">
        <w:rPr>
          <w:rFonts w:ascii="Garamond" w:hAnsi="Garamond"/>
          <w:sz w:val="22"/>
          <w:szCs w:val="22"/>
        </w:rPr>
        <w:t xml:space="preserve"> aportando a la</w:t>
      </w:r>
      <w:r w:rsidRPr="00D11C96" w:rsidR="00A604D4">
        <w:rPr>
          <w:rFonts w:ascii="Garamond" w:hAnsi="Garamond"/>
          <w:sz w:val="22"/>
          <w:szCs w:val="22"/>
        </w:rPr>
        <w:t xml:space="preserve"> sostenibilidad de estos como atractivo que </w:t>
      </w:r>
      <w:r w:rsidRPr="00D11C96" w:rsidR="00345F3E">
        <w:rPr>
          <w:rFonts w:ascii="Garamond" w:hAnsi="Garamond"/>
          <w:sz w:val="22"/>
          <w:szCs w:val="22"/>
        </w:rPr>
        <w:t>aportará al</w:t>
      </w:r>
      <w:r w:rsidRPr="00D11C96" w:rsidR="00A604D4">
        <w:rPr>
          <w:rFonts w:ascii="Garamond" w:hAnsi="Garamond"/>
          <w:sz w:val="22"/>
          <w:szCs w:val="22"/>
        </w:rPr>
        <w:t xml:space="preserve"> crecimiento económico del turismo ecológico y comunitario en el futuro</w:t>
      </w:r>
      <w:r w:rsidRPr="00D11C96" w:rsidR="00785194">
        <w:rPr>
          <w:rFonts w:ascii="Garamond" w:hAnsi="Garamond"/>
          <w:sz w:val="22"/>
          <w:szCs w:val="22"/>
        </w:rPr>
        <w:t xml:space="preserve">, así como de </w:t>
      </w:r>
      <w:r w:rsidRPr="00D11C96" w:rsidR="00672E0F">
        <w:rPr>
          <w:rFonts w:ascii="Garamond" w:hAnsi="Garamond"/>
          <w:sz w:val="22"/>
          <w:szCs w:val="22"/>
        </w:rPr>
        <w:t xml:space="preserve">aportar a mantener y ampliar </w:t>
      </w:r>
      <w:r w:rsidRPr="00D11C96" w:rsidR="00627A29">
        <w:rPr>
          <w:rFonts w:ascii="Garamond" w:hAnsi="Garamond"/>
          <w:sz w:val="22"/>
          <w:szCs w:val="22"/>
        </w:rPr>
        <w:t xml:space="preserve">los </w:t>
      </w:r>
      <w:proofErr w:type="spellStart"/>
      <w:r w:rsidRPr="00D11C96" w:rsidR="00627A29">
        <w:rPr>
          <w:rFonts w:ascii="Garamond" w:hAnsi="Garamond"/>
          <w:sz w:val="22"/>
          <w:szCs w:val="22"/>
        </w:rPr>
        <w:t>mas</w:t>
      </w:r>
      <w:proofErr w:type="spellEnd"/>
      <w:r w:rsidRPr="00D11C96" w:rsidR="00627A29">
        <w:rPr>
          <w:rFonts w:ascii="Garamond" w:hAnsi="Garamond"/>
          <w:sz w:val="22"/>
          <w:szCs w:val="22"/>
        </w:rPr>
        <w:t xml:space="preserve"> </w:t>
      </w:r>
      <w:proofErr w:type="spellStart"/>
      <w:r w:rsidRPr="00D11C96" w:rsidR="00627A29">
        <w:rPr>
          <w:rFonts w:ascii="Garamond" w:hAnsi="Garamond"/>
          <w:sz w:val="22"/>
          <w:szCs w:val="22"/>
        </w:rPr>
        <w:t>me</w:t>
      </w:r>
      <w:proofErr w:type="spellEnd"/>
      <w:r w:rsidRPr="00D11C96" w:rsidR="00627A29">
        <w:rPr>
          <w:rFonts w:ascii="Garamond" w:hAnsi="Garamond"/>
          <w:sz w:val="22"/>
          <w:szCs w:val="22"/>
        </w:rPr>
        <w:t xml:space="preserve"> 1.000 empleos que en la Sabana general con base en esta actividad comercial.</w:t>
      </w:r>
    </w:p>
    <w:p w:rsidRPr="00D11C96" w:rsidR="00DF1D74" w:rsidP="0034271A" w:rsidRDefault="00DF1D74" w14:paraId="6D8E1A2B" w14:textId="473D118E">
      <w:pPr>
        <w:jc w:val="both"/>
        <w:rPr>
          <w:rFonts w:ascii="Garamond" w:hAnsi="Garamond"/>
          <w:b/>
          <w:bCs/>
          <w:sz w:val="22"/>
          <w:szCs w:val="22"/>
        </w:rPr>
      </w:pPr>
      <w:r w:rsidRPr="00D11C96">
        <w:rPr>
          <w:rFonts w:ascii="Garamond" w:hAnsi="Garamond"/>
          <w:b/>
          <w:bCs/>
          <w:sz w:val="22"/>
          <w:szCs w:val="22"/>
        </w:rPr>
        <w:t>Restauración Ecológica</w:t>
      </w:r>
    </w:p>
    <w:p w:rsidRPr="00D11C96" w:rsidR="00D226FB" w:rsidP="0034271A" w:rsidRDefault="00D226FB" w14:paraId="5E72463D" w14:textId="60ABB158">
      <w:pPr>
        <w:jc w:val="both"/>
        <w:rPr>
          <w:rFonts w:ascii="Garamond" w:hAnsi="Garamond"/>
          <w:sz w:val="22"/>
          <w:szCs w:val="22"/>
        </w:rPr>
      </w:pPr>
      <w:r w:rsidRPr="00D11C96">
        <w:rPr>
          <w:rFonts w:ascii="Garamond" w:hAnsi="Garamond"/>
          <w:sz w:val="22"/>
          <w:szCs w:val="22"/>
        </w:rPr>
        <w:t>En este estudio, el Instituto</w:t>
      </w:r>
      <w:r w:rsidRPr="00D11C96" w:rsidR="009F59B7">
        <w:rPr>
          <w:rFonts w:ascii="Garamond" w:hAnsi="Garamond"/>
          <w:sz w:val="22"/>
          <w:szCs w:val="22"/>
        </w:rPr>
        <w:t xml:space="preserve"> Humboldt </w:t>
      </w:r>
      <w:r w:rsidRPr="00D11C96">
        <w:rPr>
          <w:rFonts w:ascii="Garamond" w:hAnsi="Garamond"/>
          <w:sz w:val="22"/>
          <w:szCs w:val="22"/>
        </w:rPr>
        <w:t xml:space="preserve">determinó que la Sabana de Bogotá presente una huella espacial acumulada alta durante 1970 y 2015, en coherencia con el mismo patrón de la región Andina, esto significa un gran impacto antrópico sobre los ecosistemas terrestres, lo cual explica en parte que dos de los principales tipos de ecosistemas se encuentran en alto riesgo, los humedales del altiplano y los enclaves </w:t>
      </w:r>
      <w:proofErr w:type="spellStart"/>
      <w:r w:rsidRPr="00D11C96">
        <w:rPr>
          <w:rFonts w:ascii="Garamond" w:hAnsi="Garamond"/>
          <w:sz w:val="22"/>
          <w:szCs w:val="22"/>
        </w:rPr>
        <w:t>sub-xerofíticos</w:t>
      </w:r>
      <w:proofErr w:type="spellEnd"/>
      <w:r w:rsidRPr="00D11C96">
        <w:rPr>
          <w:rFonts w:ascii="Garamond" w:hAnsi="Garamond"/>
          <w:sz w:val="22"/>
          <w:szCs w:val="22"/>
        </w:rPr>
        <w:t>; estos ecosistemas son reportados en la última versión de la Lista Roja de Ecosistemas de Colombia (Etter et al. 2020) ya que están en riesgo de desaparición (no superan hoy el 1%). Pág. 78</w:t>
      </w:r>
    </w:p>
    <w:p w:rsidRPr="00D11C96" w:rsidR="0034271A" w:rsidP="0034271A" w:rsidRDefault="0034271A" w14:paraId="7A8C1CBE" w14:textId="6A207395">
      <w:pPr>
        <w:jc w:val="both"/>
        <w:rPr>
          <w:rFonts w:ascii="Garamond" w:hAnsi="Garamond"/>
          <w:sz w:val="22"/>
          <w:szCs w:val="22"/>
        </w:rPr>
      </w:pPr>
      <w:r w:rsidRPr="00D11C96">
        <w:rPr>
          <w:rFonts w:ascii="Garamond" w:hAnsi="Garamond"/>
          <w:sz w:val="22"/>
          <w:szCs w:val="22"/>
        </w:rPr>
        <w:t xml:space="preserve">De acuerdo con el análisis de integridad ecológica realizado por el Instituto Alexander </w:t>
      </w:r>
      <w:proofErr w:type="spellStart"/>
      <w:r w:rsidRPr="00D11C96">
        <w:rPr>
          <w:rFonts w:ascii="Garamond" w:hAnsi="Garamond"/>
          <w:sz w:val="22"/>
          <w:szCs w:val="22"/>
        </w:rPr>
        <w:t>von</w:t>
      </w:r>
      <w:proofErr w:type="spellEnd"/>
      <w:r w:rsidRPr="00D11C96">
        <w:rPr>
          <w:rFonts w:ascii="Garamond" w:hAnsi="Garamond"/>
          <w:sz w:val="22"/>
          <w:szCs w:val="22"/>
        </w:rPr>
        <w:t xml:space="preserve"> Humboldt para Colombia, realizado en el año 2022 a escala 1: 100.000, relacionado en el capítulo 7 del Documento Técnico de Soporte, las áreas con baja y muy baja integridad ecológica abarcan más del 75% de la Sabana de Bogotá correspondiendo a diferentes niveles de transformación que requieren a diferentes niveles de intervención, procesos de restauración ecológica.</w:t>
      </w:r>
    </w:p>
    <w:p w:rsidRPr="00D11C96" w:rsidR="00CF2C1F" w:rsidP="00856575" w:rsidRDefault="0034271A" w14:paraId="661DC591" w14:textId="1CD9978F">
      <w:pPr>
        <w:jc w:val="both"/>
        <w:rPr>
          <w:rFonts w:ascii="Garamond" w:hAnsi="Garamond"/>
          <w:sz w:val="22"/>
          <w:szCs w:val="22"/>
        </w:rPr>
      </w:pPr>
      <w:r w:rsidRPr="00D11C96">
        <w:rPr>
          <w:rFonts w:ascii="Garamond" w:hAnsi="Garamond"/>
          <w:sz w:val="22"/>
          <w:szCs w:val="22"/>
        </w:rPr>
        <w:t xml:space="preserve">De acuerdo con </w:t>
      </w:r>
      <w:proofErr w:type="spellStart"/>
      <w:r w:rsidRPr="00D11C96">
        <w:rPr>
          <w:rFonts w:ascii="Garamond" w:hAnsi="Garamond"/>
          <w:sz w:val="22"/>
          <w:szCs w:val="22"/>
        </w:rPr>
        <w:t>Fedemaderas</w:t>
      </w:r>
      <w:proofErr w:type="spellEnd"/>
      <w:r w:rsidRPr="00D11C96">
        <w:rPr>
          <w:rFonts w:ascii="Garamond" w:hAnsi="Garamond"/>
          <w:sz w:val="22"/>
          <w:szCs w:val="22"/>
        </w:rPr>
        <w:t>. (2024), excluyendo costos de</w:t>
      </w:r>
      <w:r w:rsidRPr="00D11C96" w:rsidR="000C7FA7">
        <w:rPr>
          <w:rFonts w:ascii="Garamond" w:hAnsi="Garamond"/>
          <w:sz w:val="22"/>
          <w:szCs w:val="22"/>
        </w:rPr>
        <w:t xml:space="preserve"> monitoreo y </w:t>
      </w:r>
      <w:r w:rsidRPr="00D11C96" w:rsidR="00F61CC8">
        <w:rPr>
          <w:rFonts w:ascii="Garamond" w:hAnsi="Garamond"/>
          <w:sz w:val="22"/>
          <w:szCs w:val="22"/>
        </w:rPr>
        <w:t>seguimiento</w:t>
      </w:r>
      <w:r w:rsidRPr="00D11C96" w:rsidR="000C7FA7">
        <w:rPr>
          <w:rFonts w:ascii="Garamond" w:hAnsi="Garamond"/>
          <w:sz w:val="22"/>
          <w:szCs w:val="22"/>
        </w:rPr>
        <w:t xml:space="preserve"> a la restauración, el valor de restaurar una hectárea </w:t>
      </w:r>
      <w:r w:rsidRPr="00D11C96">
        <w:rPr>
          <w:rFonts w:ascii="Garamond" w:hAnsi="Garamond"/>
          <w:sz w:val="22"/>
          <w:szCs w:val="22"/>
        </w:rPr>
        <w:t>p</w:t>
      </w:r>
      <w:r w:rsidRPr="00D11C96" w:rsidR="000C7FA7">
        <w:rPr>
          <w:rFonts w:ascii="Garamond" w:hAnsi="Garamond"/>
          <w:sz w:val="22"/>
          <w:szCs w:val="22"/>
        </w:rPr>
        <w:t xml:space="preserve">uede rondar entre los $28 y los $36 millones de pesos, e incluso más. </w:t>
      </w:r>
      <w:r w:rsidRPr="00D11C96" w:rsidR="00FC3751">
        <w:rPr>
          <w:rFonts w:ascii="Garamond" w:hAnsi="Garamond"/>
          <w:sz w:val="22"/>
          <w:szCs w:val="22"/>
        </w:rPr>
        <w:t xml:space="preserve">De forma complementaria, </w:t>
      </w:r>
      <w:r w:rsidRPr="00D11C96" w:rsidR="00856575">
        <w:rPr>
          <w:rFonts w:ascii="Garamond" w:hAnsi="Garamond"/>
          <w:sz w:val="22"/>
          <w:szCs w:val="22"/>
        </w:rPr>
        <w:t xml:space="preserve">La Oficina Asesora de Planeación –PNNC en el POA de la vigencia 2020 </w:t>
      </w:r>
      <w:r w:rsidRPr="00D11C96" w:rsidR="00FC3751">
        <w:rPr>
          <w:rFonts w:ascii="Garamond" w:hAnsi="Garamond"/>
          <w:sz w:val="22"/>
          <w:szCs w:val="22"/>
        </w:rPr>
        <w:t>realiza una valoración de actividades para la planificación y la articulación interinstitucional, la restauración de ecosistemas vulnerables, la suscripción e implementación de regímenes especiales de manejo y acuerdos de uso, la conectividad tecnológica y las comunicaciones; igualmente la valoración para desarrollar acciones que permitan el manejo técnico de las zonas amortiguadoras, el desarrollo de alternativas de vida para los ocupantes y habitantes de las zonas con función amortiguadora (Z.A), el fortalecimiento institucional, la restauración y cuidado de ecosistemas, la prevención, vigilancia y control, el monitoreo, la mejora en tecnología para ello y un incremento en el 50% de su personal.</w:t>
      </w:r>
    </w:p>
    <w:p w:rsidRPr="00D11C96" w:rsidR="00CF2C1F" w:rsidP="00CF2C1F" w:rsidRDefault="00CF2C1F" w14:paraId="0C9FC93B" w14:textId="0AF91177">
      <w:pPr>
        <w:pStyle w:val="Caption"/>
        <w:keepNext/>
        <w:jc w:val="center"/>
      </w:pPr>
      <w:r w:rsidRPr="00D11C96">
        <w:t xml:space="preserve">Tabla </w:t>
      </w:r>
      <w:r w:rsidRPr="00D11C96">
        <w:fldChar w:fldCharType="begin"/>
      </w:r>
      <w:r w:rsidRPr="00D11C96">
        <w:instrText xml:space="preserve"> SEQ Tabla \* ARABIC </w:instrText>
      </w:r>
      <w:r w:rsidRPr="00D11C96">
        <w:fldChar w:fldCharType="separate"/>
      </w:r>
      <w:r w:rsidR="006E2525">
        <w:rPr>
          <w:noProof/>
        </w:rPr>
        <w:t>12</w:t>
      </w:r>
      <w:r w:rsidRPr="00D11C96">
        <w:fldChar w:fldCharType="end"/>
      </w:r>
      <w:r w:rsidRPr="00D11C96">
        <w:t>. Estimación de requerimientos anuales por tipo de área protegida.</w:t>
      </w:r>
    </w:p>
    <w:tbl>
      <w:tblPr>
        <w:tblW w:w="5000" w:type="pct"/>
        <w:tblLook w:val="04A0" w:firstRow="1" w:lastRow="0" w:firstColumn="1" w:lastColumn="0" w:noHBand="0" w:noVBand="1"/>
      </w:tblPr>
      <w:tblGrid>
        <w:gridCol w:w="3316"/>
        <w:gridCol w:w="3532"/>
        <w:gridCol w:w="2502"/>
      </w:tblGrid>
      <w:tr w:rsidRPr="00D11C96" w:rsidR="00CC3BE6" w:rsidTr="00CC3BE6" w14:paraId="257EA0E5" w14:textId="77777777">
        <w:trPr>
          <w:trHeight w:val="264"/>
        </w:trPr>
        <w:tc>
          <w:tcPr>
            <w:tcW w:w="1647" w:type="pct"/>
            <w:tcBorders>
              <w:top w:val="single" w:color="auto" w:sz="4" w:space="0"/>
              <w:left w:val="single" w:color="auto" w:sz="4" w:space="0"/>
              <w:bottom w:val="single" w:color="auto" w:sz="4" w:space="0"/>
              <w:right w:val="single" w:color="auto" w:sz="4" w:space="0"/>
            </w:tcBorders>
            <w:noWrap/>
            <w:vAlign w:val="center"/>
            <w:hideMark/>
          </w:tcPr>
          <w:p w:rsidRPr="00D11C96" w:rsidR="00CC3BE6" w:rsidP="00CC3BE6" w:rsidRDefault="00CC3BE6" w14:paraId="2BD409B6"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Áreas protegidas</w:t>
            </w:r>
          </w:p>
        </w:tc>
        <w:tc>
          <w:tcPr>
            <w:tcW w:w="1755" w:type="pct"/>
            <w:tcBorders>
              <w:top w:val="single" w:color="auto" w:sz="4" w:space="0"/>
              <w:left w:val="nil"/>
              <w:bottom w:val="single" w:color="auto" w:sz="4" w:space="0"/>
              <w:right w:val="single" w:color="auto" w:sz="4" w:space="0"/>
            </w:tcBorders>
            <w:noWrap/>
            <w:vAlign w:val="center"/>
            <w:hideMark/>
          </w:tcPr>
          <w:p w:rsidRPr="00D11C96" w:rsidR="00CC3BE6" w:rsidP="00CC3BE6" w:rsidRDefault="00CC3BE6" w14:paraId="0085439E"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SINAP</w:t>
            </w:r>
          </w:p>
        </w:tc>
        <w:tc>
          <w:tcPr>
            <w:tcW w:w="1598" w:type="pct"/>
            <w:tcBorders>
              <w:top w:val="single" w:color="auto" w:sz="4" w:space="0"/>
              <w:left w:val="nil"/>
              <w:bottom w:val="single" w:color="auto" w:sz="4" w:space="0"/>
              <w:right w:val="single" w:color="auto" w:sz="4" w:space="0"/>
            </w:tcBorders>
            <w:noWrap/>
            <w:vAlign w:val="center"/>
            <w:hideMark/>
          </w:tcPr>
          <w:p w:rsidRPr="00D11C96" w:rsidR="00CC3BE6" w:rsidP="00CC3BE6" w:rsidRDefault="00CC3BE6" w14:paraId="137FB63B"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$/ha</w:t>
            </w:r>
          </w:p>
        </w:tc>
      </w:tr>
      <w:tr w:rsidRPr="00D11C96" w:rsidR="00CC3BE6" w:rsidTr="00CC3BE6" w14:paraId="115A069A" w14:textId="77777777">
        <w:trPr>
          <w:trHeight w:val="264"/>
        </w:trPr>
        <w:tc>
          <w:tcPr>
            <w:tcW w:w="1647" w:type="pct"/>
            <w:vMerge w:val="restart"/>
            <w:tcBorders>
              <w:top w:val="nil"/>
              <w:left w:val="single" w:color="auto" w:sz="4" w:space="0"/>
              <w:right w:val="single" w:color="auto" w:sz="4" w:space="0"/>
            </w:tcBorders>
            <w:noWrap/>
            <w:vAlign w:val="center"/>
            <w:hideMark/>
          </w:tcPr>
          <w:p w:rsidRPr="00D11C96" w:rsidR="00CC3BE6" w:rsidP="00CC3BE6" w:rsidRDefault="00CC3BE6" w14:paraId="369F7FA7"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Parque Nacional Natural</w:t>
            </w:r>
          </w:p>
          <w:p w:rsidRPr="00D11C96" w:rsidR="00CC3BE6" w:rsidP="00CC3BE6" w:rsidRDefault="00CC3BE6" w14:paraId="1FF10755"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p w:rsidRPr="00D11C96" w:rsidR="00CC3BE6" w:rsidP="00CC3BE6" w:rsidRDefault="00CC3BE6" w14:paraId="7CB2FD4D"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p w:rsidRPr="00D11C96" w:rsidR="00CC3BE6" w:rsidP="00CC3BE6" w:rsidRDefault="00CC3BE6" w14:paraId="05EF3DA9" w14:textId="79AC605D">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461D2AAA"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preservación</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67FA88AB" w14:textId="7881797F">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6.367 </w:t>
            </w:r>
          </w:p>
        </w:tc>
      </w:tr>
      <w:tr w:rsidRPr="00D11C96" w:rsidR="00CC3BE6" w:rsidTr="00CC3BE6" w14:paraId="679B25F8" w14:textId="77777777">
        <w:trPr>
          <w:trHeight w:val="264"/>
        </w:trPr>
        <w:tc>
          <w:tcPr>
            <w:tcW w:w="1647" w:type="pct"/>
            <w:vMerge/>
            <w:tcBorders>
              <w:left w:val="single" w:color="auto" w:sz="4" w:space="0"/>
              <w:right w:val="single" w:color="auto" w:sz="4" w:space="0"/>
            </w:tcBorders>
            <w:noWrap/>
            <w:vAlign w:val="center"/>
            <w:hideMark/>
          </w:tcPr>
          <w:p w:rsidRPr="00D11C96" w:rsidR="00CC3BE6" w:rsidP="00CC3BE6" w:rsidRDefault="00CC3BE6" w14:paraId="45BC0CCC" w14:textId="3C3825C7">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5A43D98E"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preservación</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77FE088E" w14:textId="59179379">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125.411 </w:t>
            </w:r>
          </w:p>
        </w:tc>
      </w:tr>
      <w:tr w:rsidRPr="00D11C96" w:rsidR="00CC3BE6" w:rsidTr="00CC3BE6" w14:paraId="1032635A" w14:textId="77777777">
        <w:trPr>
          <w:trHeight w:val="264"/>
        </w:trPr>
        <w:tc>
          <w:tcPr>
            <w:tcW w:w="1647" w:type="pct"/>
            <w:vMerge/>
            <w:tcBorders>
              <w:left w:val="single" w:color="auto" w:sz="4" w:space="0"/>
              <w:right w:val="single" w:color="auto" w:sz="4" w:space="0"/>
            </w:tcBorders>
            <w:noWrap/>
            <w:vAlign w:val="center"/>
            <w:hideMark/>
          </w:tcPr>
          <w:p w:rsidRPr="00D11C96" w:rsidR="00CC3BE6" w:rsidP="00CC3BE6" w:rsidRDefault="00CC3BE6" w14:paraId="460C9AFF" w14:textId="62EADFDE">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6CA304CC"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44FBEFFC" w14:textId="676642A5">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$ 18.604 </w:t>
            </w:r>
          </w:p>
        </w:tc>
      </w:tr>
      <w:tr w:rsidRPr="00D11C96" w:rsidR="00CC3BE6" w:rsidTr="00CC3BE6" w14:paraId="294A6230" w14:textId="77777777">
        <w:trPr>
          <w:trHeight w:val="264"/>
        </w:trPr>
        <w:tc>
          <w:tcPr>
            <w:tcW w:w="1647" w:type="pct"/>
            <w:vMerge/>
            <w:tcBorders>
              <w:left w:val="single" w:color="auto" w:sz="4" w:space="0"/>
              <w:bottom w:val="single" w:color="auto" w:sz="4" w:space="0"/>
              <w:right w:val="single" w:color="auto" w:sz="4" w:space="0"/>
            </w:tcBorders>
            <w:noWrap/>
            <w:vAlign w:val="center"/>
            <w:hideMark/>
          </w:tcPr>
          <w:p w:rsidRPr="00D11C96" w:rsidR="00CC3BE6" w:rsidP="00CC3BE6" w:rsidRDefault="00CC3BE6" w14:paraId="781A2E23" w14:textId="23B18BD8">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1F68E8A2"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16B14255" w14:textId="11683FDA">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$ 51.919 </w:t>
            </w:r>
          </w:p>
        </w:tc>
      </w:tr>
      <w:tr w:rsidRPr="00D11C96" w:rsidR="00CC3BE6" w:rsidTr="00CC3BE6" w14:paraId="75440CC4" w14:textId="77777777">
        <w:trPr>
          <w:trHeight w:val="264"/>
        </w:trPr>
        <w:tc>
          <w:tcPr>
            <w:tcW w:w="1647" w:type="pct"/>
            <w:tcBorders>
              <w:top w:val="nil"/>
              <w:left w:val="single" w:color="auto" w:sz="4" w:space="0"/>
              <w:bottom w:val="single" w:color="auto" w:sz="4" w:space="0"/>
              <w:right w:val="single" w:color="auto" w:sz="4" w:space="0"/>
            </w:tcBorders>
            <w:noWrap/>
            <w:vAlign w:val="center"/>
            <w:hideMark/>
          </w:tcPr>
          <w:p w:rsidRPr="00D11C96" w:rsidR="00CC3BE6" w:rsidP="00CC3BE6" w:rsidRDefault="00CC3BE6" w14:paraId="25A5A4D4"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Reserva Nacional Natural</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5EB1273D"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preservación</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4D3B4147" w14:textId="3C472BCE">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6.367 </w:t>
            </w:r>
          </w:p>
        </w:tc>
      </w:tr>
      <w:tr w:rsidRPr="00D11C96" w:rsidR="00CC3BE6" w:rsidTr="00CC3BE6" w14:paraId="3CF00195" w14:textId="77777777">
        <w:trPr>
          <w:trHeight w:val="264"/>
        </w:trPr>
        <w:tc>
          <w:tcPr>
            <w:tcW w:w="1647" w:type="pct"/>
            <w:tcBorders>
              <w:top w:val="nil"/>
              <w:left w:val="single" w:color="auto" w:sz="4" w:space="0"/>
              <w:bottom w:val="single" w:color="auto" w:sz="4" w:space="0"/>
              <w:right w:val="single" w:color="auto" w:sz="4" w:space="0"/>
            </w:tcBorders>
            <w:noWrap/>
            <w:vAlign w:val="center"/>
            <w:hideMark/>
          </w:tcPr>
          <w:p w:rsidRPr="00D11C96" w:rsidR="00CC3BE6" w:rsidP="00CC3BE6" w:rsidRDefault="00CC3BE6" w14:paraId="4EAAC273"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Natural Única</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07F28A60"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7EB33B1F" w14:textId="0F6BF949">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18.604 </w:t>
            </w:r>
          </w:p>
        </w:tc>
      </w:tr>
      <w:tr w:rsidRPr="00D11C96" w:rsidR="00CC3BE6" w14:paraId="67E93424" w14:textId="77777777">
        <w:trPr>
          <w:trHeight w:val="264"/>
        </w:trPr>
        <w:tc>
          <w:tcPr>
            <w:tcW w:w="1647" w:type="pct"/>
            <w:vMerge w:val="restart"/>
            <w:tcBorders>
              <w:top w:val="nil"/>
              <w:left w:val="single" w:color="auto" w:sz="4" w:space="0"/>
              <w:right w:val="single" w:color="auto" w:sz="4" w:space="0"/>
            </w:tcBorders>
            <w:noWrap/>
            <w:vAlign w:val="center"/>
            <w:hideMark/>
          </w:tcPr>
          <w:p w:rsidRPr="00D11C96" w:rsidR="00CC3BE6" w:rsidP="00CC3BE6" w:rsidRDefault="00CC3BE6" w14:paraId="251093BC"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Santuario de Flora y Fauna</w:t>
            </w:r>
          </w:p>
          <w:p w:rsidRPr="00D11C96" w:rsidR="00CC3BE6" w:rsidP="00CC3BE6" w:rsidRDefault="00CC3BE6" w14:paraId="0800523E"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p w:rsidRPr="00D11C96" w:rsidR="00CC3BE6" w:rsidP="00CC3BE6" w:rsidRDefault="00CC3BE6" w14:paraId="0F5FB7D1"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p w:rsidRPr="00D11C96" w:rsidR="00CC3BE6" w:rsidP="00CC3BE6" w:rsidRDefault="00CC3BE6" w14:paraId="5E798B91" w14:textId="661B959B">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77EC1CBA"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preservación</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381710B8" w14:textId="35797436">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6.367 </w:t>
            </w:r>
          </w:p>
        </w:tc>
      </w:tr>
      <w:tr w:rsidRPr="00D11C96" w:rsidR="00CC3BE6" w14:paraId="2EEC3A60" w14:textId="77777777">
        <w:trPr>
          <w:trHeight w:val="264"/>
        </w:trPr>
        <w:tc>
          <w:tcPr>
            <w:tcW w:w="1647" w:type="pct"/>
            <w:vMerge/>
            <w:tcBorders>
              <w:left w:val="single" w:color="auto" w:sz="4" w:space="0"/>
              <w:right w:val="single" w:color="auto" w:sz="4" w:space="0"/>
            </w:tcBorders>
            <w:noWrap/>
            <w:vAlign w:val="center"/>
            <w:hideMark/>
          </w:tcPr>
          <w:p w:rsidRPr="00D11C96" w:rsidR="00CC3BE6" w:rsidP="00CC3BE6" w:rsidRDefault="00CC3BE6" w14:paraId="788225FC" w14:textId="3619A400">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33F83DBE"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preservación</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55656BFA" w14:textId="58F476AB">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125.411 </w:t>
            </w:r>
          </w:p>
        </w:tc>
      </w:tr>
      <w:tr w:rsidRPr="00D11C96" w:rsidR="00CC3BE6" w14:paraId="4BCC8470" w14:textId="77777777">
        <w:trPr>
          <w:trHeight w:val="264"/>
        </w:trPr>
        <w:tc>
          <w:tcPr>
            <w:tcW w:w="1647" w:type="pct"/>
            <w:vMerge/>
            <w:tcBorders>
              <w:left w:val="single" w:color="auto" w:sz="4" w:space="0"/>
              <w:right w:val="single" w:color="auto" w:sz="4" w:space="0"/>
            </w:tcBorders>
            <w:noWrap/>
            <w:vAlign w:val="center"/>
            <w:hideMark/>
          </w:tcPr>
          <w:p w:rsidRPr="00D11C96" w:rsidR="00CC3BE6" w:rsidP="00CC3BE6" w:rsidRDefault="00CC3BE6" w14:paraId="37884593" w14:textId="4708B886">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01E1E3EF"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51F1FEE5" w14:textId="04FF8095">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w:t>
            </w:r>
            <w:r w:rsidR="004B2529">
              <w:rPr>
                <w:rFonts w:ascii="Times New Roman" w:hAnsi="Times New Roman" w:eastAsia="Times New Roman" w:cs="Times New Roman"/>
                <w:color w:val="000000"/>
                <w:kern w:val="0"/>
                <w:sz w:val="20"/>
                <w:szCs w:val="20"/>
                <w14:ligatures w14:val="none"/>
              </w:rPr>
              <w:t xml:space="preserve"> </w:t>
            </w:r>
            <w:r w:rsidRPr="00D11C96">
              <w:rPr>
                <w:rFonts w:ascii="Times New Roman" w:hAnsi="Times New Roman" w:eastAsia="Times New Roman" w:cs="Times New Roman"/>
                <w:color w:val="000000"/>
                <w:kern w:val="0"/>
                <w:sz w:val="20"/>
                <w:szCs w:val="20"/>
                <w14:ligatures w14:val="none"/>
              </w:rPr>
              <w:t xml:space="preserve">18.604 </w:t>
            </w:r>
          </w:p>
        </w:tc>
      </w:tr>
      <w:tr w:rsidRPr="00D11C96" w:rsidR="00CC3BE6" w14:paraId="51F4EEE9" w14:textId="77777777">
        <w:trPr>
          <w:trHeight w:val="264"/>
        </w:trPr>
        <w:tc>
          <w:tcPr>
            <w:tcW w:w="1647" w:type="pct"/>
            <w:vMerge/>
            <w:tcBorders>
              <w:left w:val="single" w:color="auto" w:sz="4" w:space="0"/>
              <w:bottom w:val="single" w:color="auto" w:sz="4" w:space="0"/>
              <w:right w:val="single" w:color="auto" w:sz="4" w:space="0"/>
            </w:tcBorders>
            <w:noWrap/>
            <w:vAlign w:val="center"/>
            <w:hideMark/>
          </w:tcPr>
          <w:p w:rsidRPr="00D11C96" w:rsidR="00CC3BE6" w:rsidP="00CC3BE6" w:rsidRDefault="00CC3BE6" w14:paraId="0001A717" w14:textId="0DDC91FF">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5A73CE22"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27B7D1B6" w14:textId="7CF2ADB9">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$ 51.919 </w:t>
            </w:r>
          </w:p>
        </w:tc>
      </w:tr>
      <w:tr w:rsidRPr="00D11C96" w:rsidR="00CC3BE6" w:rsidTr="00CC3BE6" w14:paraId="50C91AC0" w14:textId="77777777">
        <w:trPr>
          <w:trHeight w:val="264"/>
        </w:trPr>
        <w:tc>
          <w:tcPr>
            <w:tcW w:w="1647" w:type="pct"/>
            <w:tcBorders>
              <w:top w:val="nil"/>
              <w:left w:val="single" w:color="auto" w:sz="4" w:space="0"/>
              <w:bottom w:val="single" w:color="auto" w:sz="4" w:space="0"/>
              <w:right w:val="single" w:color="auto" w:sz="4" w:space="0"/>
            </w:tcBorders>
            <w:noWrap/>
            <w:vAlign w:val="center"/>
            <w:hideMark/>
          </w:tcPr>
          <w:p w:rsidRPr="00D11C96" w:rsidR="00CC3BE6" w:rsidP="00CC3BE6" w:rsidRDefault="00CC3BE6" w14:paraId="3C7E3889"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Vía Parque</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514BBC15"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617B4313" w14:textId="1A1EF699">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$ 51.919 </w:t>
            </w:r>
          </w:p>
        </w:tc>
      </w:tr>
      <w:tr w:rsidRPr="00D11C96" w:rsidR="00CC3BE6" w14:paraId="3EBFADA7" w14:textId="77777777">
        <w:trPr>
          <w:trHeight w:val="264"/>
        </w:trPr>
        <w:tc>
          <w:tcPr>
            <w:tcW w:w="1647" w:type="pct"/>
            <w:vMerge w:val="restart"/>
            <w:tcBorders>
              <w:top w:val="nil"/>
              <w:left w:val="single" w:color="auto" w:sz="4" w:space="0"/>
              <w:right w:val="single" w:color="auto" w:sz="4" w:space="0"/>
            </w:tcBorders>
            <w:noWrap/>
            <w:vAlign w:val="center"/>
            <w:hideMark/>
          </w:tcPr>
          <w:p w:rsidRPr="00D11C96" w:rsidR="00CC3BE6" w:rsidP="00CC3BE6" w:rsidRDefault="00CC3BE6" w14:paraId="6642BEB0"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Distrito Nacional de Manejo Integrado</w:t>
            </w:r>
          </w:p>
          <w:p w:rsidRPr="00D11C96" w:rsidR="00CC3BE6" w:rsidP="00CC3BE6" w:rsidRDefault="00CC3BE6" w14:paraId="4E141256" w14:textId="299A5B80">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w:t>
            </w: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73105E3B"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marina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55FBFA57" w14:textId="30E70FFE">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$ 51.919 </w:t>
            </w:r>
          </w:p>
        </w:tc>
      </w:tr>
      <w:tr w:rsidRPr="00D11C96" w:rsidR="00CC3BE6" w14:paraId="62C0D064" w14:textId="77777777">
        <w:trPr>
          <w:trHeight w:val="264"/>
        </w:trPr>
        <w:tc>
          <w:tcPr>
            <w:tcW w:w="1647" w:type="pct"/>
            <w:vMerge/>
            <w:tcBorders>
              <w:left w:val="single" w:color="auto" w:sz="4" w:space="0"/>
              <w:bottom w:val="single" w:color="auto" w:sz="4" w:space="0"/>
              <w:right w:val="single" w:color="auto" w:sz="4" w:space="0"/>
            </w:tcBorders>
            <w:noWrap/>
            <w:vAlign w:val="center"/>
            <w:hideMark/>
          </w:tcPr>
          <w:p w:rsidRPr="00D11C96" w:rsidR="00CC3BE6" w:rsidP="00CC3BE6" w:rsidRDefault="00CC3BE6" w14:paraId="5A75B589" w14:textId="07387E1A">
            <w:pPr>
              <w:spacing w:after="0" w:line="240" w:lineRule="auto"/>
              <w:jc w:val="center"/>
              <w:rPr>
                <w:rFonts w:ascii="Times New Roman" w:hAnsi="Times New Roman" w:eastAsia="Times New Roman" w:cs="Times New Roman"/>
                <w:color w:val="000000"/>
                <w:kern w:val="0"/>
                <w:sz w:val="20"/>
                <w:szCs w:val="20"/>
                <w14:ligatures w14:val="none"/>
              </w:rPr>
            </w:pPr>
          </w:p>
        </w:tc>
        <w:tc>
          <w:tcPr>
            <w:tcW w:w="1755" w:type="pct"/>
            <w:tcBorders>
              <w:top w:val="nil"/>
              <w:left w:val="nil"/>
              <w:bottom w:val="single" w:color="auto" w:sz="4" w:space="0"/>
              <w:right w:val="single" w:color="auto" w:sz="4" w:space="0"/>
            </w:tcBorders>
            <w:noWrap/>
            <w:vAlign w:val="center"/>
            <w:hideMark/>
          </w:tcPr>
          <w:p w:rsidRPr="00D11C96" w:rsidR="00CC3BE6" w:rsidP="00CC3BE6" w:rsidRDefault="00CC3BE6" w14:paraId="70C228C0"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Área protegida terrestre de uso sostenible</w:t>
            </w:r>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63A241BD" w14:textId="2B5D56E5">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$ 18.604 </w:t>
            </w:r>
          </w:p>
        </w:tc>
      </w:tr>
      <w:tr w:rsidRPr="00D11C96" w:rsidR="00CC3BE6" w:rsidTr="00CC3BE6" w14:paraId="2549FDC2" w14:textId="77777777">
        <w:trPr>
          <w:trHeight w:val="264"/>
        </w:trPr>
        <w:tc>
          <w:tcPr>
            <w:tcW w:w="3402" w:type="pct"/>
            <w:gridSpan w:val="2"/>
            <w:tcBorders>
              <w:top w:val="single" w:color="auto" w:sz="4" w:space="0"/>
              <w:left w:val="single" w:color="auto" w:sz="4" w:space="0"/>
              <w:bottom w:val="single" w:color="auto" w:sz="4" w:space="0"/>
              <w:right w:val="single" w:color="auto" w:sz="4" w:space="0"/>
            </w:tcBorders>
            <w:noWrap/>
            <w:vAlign w:val="center"/>
            <w:hideMark/>
          </w:tcPr>
          <w:p w:rsidRPr="00D11C96" w:rsidR="00CC3BE6" w:rsidP="00CC3BE6" w:rsidRDefault="00CC3BE6" w14:paraId="1A077947"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Promedio por </w:t>
            </w:r>
            <w:proofErr w:type="spellStart"/>
            <w:r w:rsidRPr="00D11C96">
              <w:rPr>
                <w:rFonts w:ascii="Times New Roman" w:hAnsi="Times New Roman" w:eastAsia="Times New Roman" w:cs="Times New Roman"/>
                <w:color w:val="000000"/>
                <w:kern w:val="0"/>
                <w:sz w:val="20"/>
                <w:szCs w:val="20"/>
                <w14:ligatures w14:val="none"/>
              </w:rPr>
              <w:t>Hectarea</w:t>
            </w:r>
            <w:proofErr w:type="spellEnd"/>
          </w:p>
        </w:tc>
        <w:tc>
          <w:tcPr>
            <w:tcW w:w="1598" w:type="pct"/>
            <w:tcBorders>
              <w:top w:val="nil"/>
              <w:left w:val="nil"/>
              <w:bottom w:val="single" w:color="auto" w:sz="4" w:space="0"/>
              <w:right w:val="single" w:color="auto" w:sz="4" w:space="0"/>
            </w:tcBorders>
            <w:noWrap/>
            <w:vAlign w:val="center"/>
            <w:hideMark/>
          </w:tcPr>
          <w:p w:rsidRPr="00D11C96" w:rsidR="00CC3BE6" w:rsidP="00CC3BE6" w:rsidRDefault="00CC3BE6" w14:paraId="2BC45051" w14:textId="36DB5DF1">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 xml:space="preserve"> $ 42.463 </w:t>
            </w:r>
          </w:p>
        </w:tc>
      </w:tr>
    </w:tbl>
    <w:p w:rsidRPr="00D11C96" w:rsidR="00FC3751" w:rsidP="00CE0449" w:rsidRDefault="00CF2C1F" w14:paraId="477154E8" w14:textId="28EC2AAA">
      <w:pPr>
        <w:jc w:val="center"/>
        <w:rPr>
          <w:rFonts w:ascii="Garamond" w:hAnsi="Garamond"/>
          <w:sz w:val="22"/>
          <w:szCs w:val="22"/>
        </w:rPr>
      </w:pPr>
      <w:r w:rsidRPr="00D11C96">
        <w:rPr>
          <w:rFonts w:ascii="Garamond" w:hAnsi="Garamond" w:cs="Arial"/>
          <w:sz w:val="20"/>
          <w:szCs w:val="20"/>
        </w:rPr>
        <w:t xml:space="preserve">Fuente: Elaboración propia con datos </w:t>
      </w:r>
      <w:r w:rsidRPr="00D11C96" w:rsidR="00CE0449">
        <w:rPr>
          <w:rFonts w:ascii="Garamond" w:hAnsi="Garamond"/>
          <w:sz w:val="22"/>
          <w:szCs w:val="22"/>
        </w:rPr>
        <w:t>Oficina Asesora de Planeación –PNNC</w:t>
      </w:r>
      <w:r w:rsidRPr="00D11C96" w:rsidR="00CE0449">
        <w:rPr>
          <w:rFonts w:ascii="Garamond" w:hAnsi="Garamond" w:cs="Arial"/>
          <w:sz w:val="20"/>
          <w:szCs w:val="20"/>
        </w:rPr>
        <w:t xml:space="preserve"> </w:t>
      </w:r>
      <w:r w:rsidRPr="00D11C96">
        <w:rPr>
          <w:rFonts w:ascii="Garamond" w:hAnsi="Garamond" w:cs="Arial"/>
          <w:sz w:val="20"/>
          <w:szCs w:val="20"/>
        </w:rPr>
        <w:t>(20</w:t>
      </w:r>
      <w:r w:rsidRPr="00D11C96" w:rsidR="00CE0449">
        <w:rPr>
          <w:rFonts w:ascii="Garamond" w:hAnsi="Garamond" w:cs="Arial"/>
          <w:sz w:val="20"/>
          <w:szCs w:val="20"/>
        </w:rPr>
        <w:t>20</w:t>
      </w:r>
      <w:r w:rsidRPr="00D11C96">
        <w:rPr>
          <w:rFonts w:ascii="Garamond" w:hAnsi="Garamond" w:cs="Arial"/>
          <w:sz w:val="20"/>
          <w:szCs w:val="20"/>
        </w:rPr>
        <w:t>).</w:t>
      </w:r>
    </w:p>
    <w:p w:rsidRPr="00D11C96" w:rsidR="00FF32CE" w:rsidP="000C7FA7" w:rsidRDefault="004B2529" w14:paraId="0B4DFC7F" w14:textId="676F86F8">
      <w:pPr>
        <w:jc w:val="both"/>
        <w:rPr>
          <w:rFonts w:ascii="Garamond" w:hAnsi="Garamond"/>
          <w:sz w:val="22"/>
          <w:szCs w:val="22"/>
        </w:rPr>
      </w:pPr>
      <w:r>
        <w:rPr>
          <w:rFonts w:ascii="Garamond" w:hAnsi="Garamond"/>
          <w:sz w:val="22"/>
          <w:szCs w:val="22"/>
        </w:rPr>
        <w:t>L</w:t>
      </w:r>
      <w:r w:rsidRPr="00D11C96" w:rsidR="00FF32CE">
        <w:rPr>
          <w:rFonts w:ascii="Garamond" w:hAnsi="Garamond"/>
          <w:sz w:val="22"/>
          <w:szCs w:val="22"/>
        </w:rPr>
        <w:t xml:space="preserve">a Sabana de Bogotá presenta unas zonas de </w:t>
      </w:r>
      <w:r w:rsidRPr="00D11C96" w:rsidR="00D11C96">
        <w:rPr>
          <w:rFonts w:ascii="Garamond" w:hAnsi="Garamond"/>
          <w:sz w:val="22"/>
          <w:szCs w:val="22"/>
        </w:rPr>
        <w:t xml:space="preserve">con potencial de recuperación y rehabilitación </w:t>
      </w:r>
      <w:proofErr w:type="spellStart"/>
      <w:r w:rsidRPr="00D11C96" w:rsidR="00D11C96">
        <w:rPr>
          <w:rFonts w:ascii="Garamond" w:hAnsi="Garamond"/>
          <w:sz w:val="22"/>
          <w:szCs w:val="22"/>
        </w:rPr>
        <w:t>pos-mineros</w:t>
      </w:r>
      <w:proofErr w:type="spellEnd"/>
      <w:r w:rsidR="00D11C96">
        <w:rPr>
          <w:rFonts w:ascii="Garamond" w:hAnsi="Garamond"/>
          <w:sz w:val="22"/>
          <w:szCs w:val="22"/>
        </w:rPr>
        <w:t xml:space="preserve">, </w:t>
      </w:r>
      <w:r w:rsidR="00712E75">
        <w:rPr>
          <w:rFonts w:ascii="Garamond" w:hAnsi="Garamond"/>
          <w:sz w:val="22"/>
          <w:szCs w:val="22"/>
        </w:rPr>
        <w:t xml:space="preserve">estas zonas hacen referencia a elementos de la estructura ecológica principal, ecosistemas </w:t>
      </w:r>
      <w:proofErr w:type="spellStart"/>
      <w:r w:rsidR="00712E75">
        <w:rPr>
          <w:rFonts w:ascii="Garamond" w:hAnsi="Garamond"/>
          <w:sz w:val="22"/>
          <w:szCs w:val="22"/>
        </w:rPr>
        <w:t>subxerofiticos</w:t>
      </w:r>
      <w:proofErr w:type="spellEnd"/>
      <w:r w:rsidR="00712E75">
        <w:rPr>
          <w:rFonts w:ascii="Garamond" w:hAnsi="Garamond"/>
          <w:sz w:val="22"/>
          <w:szCs w:val="22"/>
        </w:rPr>
        <w:t xml:space="preserve"> o de </w:t>
      </w:r>
      <w:r w:rsidR="00D86E1D">
        <w:rPr>
          <w:rFonts w:ascii="Garamond" w:hAnsi="Garamond"/>
          <w:sz w:val="22"/>
          <w:szCs w:val="22"/>
        </w:rPr>
        <w:t xml:space="preserve">bosque altoandino que se encuentran sobre polígonos mineros y </w:t>
      </w:r>
      <w:r w:rsidR="006E2015">
        <w:rPr>
          <w:rFonts w:ascii="Garamond" w:hAnsi="Garamond"/>
          <w:sz w:val="22"/>
          <w:szCs w:val="22"/>
        </w:rPr>
        <w:t>que,</w:t>
      </w:r>
      <w:r w:rsidR="00D86E1D">
        <w:rPr>
          <w:rFonts w:ascii="Garamond" w:hAnsi="Garamond"/>
          <w:sz w:val="22"/>
          <w:szCs w:val="22"/>
        </w:rPr>
        <w:t xml:space="preserve"> en escenarios posteriores a esta actividad, pueden ser susceptibles de acciones de restauración</w:t>
      </w:r>
      <w:r w:rsidR="004D2718">
        <w:rPr>
          <w:rFonts w:ascii="Garamond" w:hAnsi="Garamond"/>
          <w:sz w:val="22"/>
          <w:szCs w:val="22"/>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73"/>
        <w:gridCol w:w="4387"/>
      </w:tblGrid>
      <w:tr w:rsidR="00D86E1D" w:rsidTr="00521D4D" w14:paraId="0DB5CCA0" w14:textId="77777777">
        <w:tc>
          <w:tcPr>
            <w:tcW w:w="4973" w:type="dxa"/>
            <w:vAlign w:val="center"/>
          </w:tcPr>
          <w:p w:rsidR="006E2525" w:rsidP="006E2525" w:rsidRDefault="006E2525" w14:paraId="52C675FE" w14:textId="6395DB1A">
            <w:pPr>
              <w:pStyle w:val="Caption"/>
              <w:keepNext/>
              <w:jc w:val="center"/>
            </w:pPr>
            <w:r>
              <w:t xml:space="preserve">Tabla </w:t>
            </w:r>
            <w:r>
              <w:fldChar w:fldCharType="begin"/>
            </w:r>
            <w:r>
              <w:instrText xml:space="preserve"> SEQ Tabla \* ARABIC </w:instrText>
            </w:r>
            <w:r>
              <w:fldChar w:fldCharType="separate"/>
            </w:r>
            <w:r>
              <w:rPr>
                <w:noProof/>
              </w:rPr>
              <w:t>13</w:t>
            </w:r>
            <w:r>
              <w:fldChar w:fldCharType="end"/>
            </w:r>
            <w:r>
              <w:t xml:space="preserve">. Potencial de recuperación y rehabilitación </w:t>
            </w:r>
            <w:proofErr w:type="spellStart"/>
            <w:r>
              <w:t>posminera</w:t>
            </w:r>
            <w:proofErr w:type="spellEnd"/>
            <w:r>
              <w:t xml:space="preserve"> en la Sabana de Bogotá</w:t>
            </w:r>
          </w:p>
          <w:tbl>
            <w:tblPr>
              <w:tblW w:w="4747" w:type="dxa"/>
              <w:jc w:val="center"/>
              <w:tblLook w:val="04A0" w:firstRow="1" w:lastRow="0" w:firstColumn="1" w:lastColumn="0" w:noHBand="0" w:noVBand="1"/>
            </w:tblPr>
            <w:tblGrid>
              <w:gridCol w:w="2857"/>
              <w:gridCol w:w="1890"/>
            </w:tblGrid>
            <w:tr w:rsidRPr="008B6CFA" w:rsidR="00D86E1D" w:rsidTr="00D86E1D" w14:paraId="25D99149" w14:textId="77777777">
              <w:trPr>
                <w:trHeight w:val="792"/>
                <w:jc w:val="center"/>
              </w:trPr>
              <w:tc>
                <w:tcPr>
                  <w:tcW w:w="2857" w:type="dxa"/>
                  <w:tcBorders>
                    <w:top w:val="single" w:color="auto" w:sz="4" w:space="0"/>
                    <w:left w:val="single" w:color="auto" w:sz="4" w:space="0"/>
                    <w:bottom w:val="single" w:color="auto" w:sz="4" w:space="0"/>
                    <w:right w:val="single" w:color="auto" w:sz="4" w:space="0"/>
                  </w:tcBorders>
                  <w:vAlign w:val="center"/>
                  <w:hideMark/>
                </w:tcPr>
                <w:p w:rsidRPr="008B6CFA" w:rsidR="00D86E1D" w:rsidP="009A47F9" w:rsidRDefault="00D86E1D" w14:paraId="3E7E6573" w14:textId="77777777">
                  <w:pPr>
                    <w:spacing w:after="0" w:line="240" w:lineRule="auto"/>
                    <w:jc w:val="center"/>
                    <w:rPr>
                      <w:rFonts w:ascii="Times New Roman" w:hAnsi="Times New Roman" w:eastAsia="Times New Roman" w:cs="Times New Roman"/>
                      <w:b/>
                      <w:bCs/>
                      <w:color w:val="000000"/>
                      <w:kern w:val="0"/>
                      <w:sz w:val="20"/>
                      <w:szCs w:val="20"/>
                      <w14:ligatures w14:val="none"/>
                    </w:rPr>
                  </w:pPr>
                  <w:r w:rsidRPr="008B6CFA">
                    <w:rPr>
                      <w:rFonts w:ascii="Times New Roman" w:hAnsi="Times New Roman" w:eastAsia="Times New Roman" w:cs="Times New Roman"/>
                      <w:b/>
                      <w:bCs/>
                      <w:color w:val="000000"/>
                      <w:kern w:val="0"/>
                      <w:sz w:val="20"/>
                      <w:szCs w:val="20"/>
                      <w14:ligatures w14:val="none"/>
                    </w:rPr>
                    <w:t>Elementos susceptibles de restauración</w:t>
                  </w:r>
                </w:p>
              </w:tc>
              <w:tc>
                <w:tcPr>
                  <w:tcW w:w="1890" w:type="dxa"/>
                  <w:tcBorders>
                    <w:top w:val="single" w:color="auto" w:sz="4" w:space="0"/>
                    <w:left w:val="nil"/>
                    <w:bottom w:val="single" w:color="auto" w:sz="4" w:space="0"/>
                    <w:right w:val="single" w:color="auto" w:sz="4" w:space="0"/>
                  </w:tcBorders>
                  <w:vAlign w:val="center"/>
                  <w:hideMark/>
                </w:tcPr>
                <w:p w:rsidRPr="008B6CFA" w:rsidR="00D86E1D" w:rsidP="009A47F9" w:rsidRDefault="00D86E1D" w14:paraId="1206B1A4" w14:textId="77777777">
                  <w:pPr>
                    <w:spacing w:after="0" w:line="240" w:lineRule="auto"/>
                    <w:jc w:val="center"/>
                    <w:rPr>
                      <w:rFonts w:ascii="Times New Roman" w:hAnsi="Times New Roman" w:eastAsia="Times New Roman" w:cs="Times New Roman"/>
                      <w:b/>
                      <w:bCs/>
                      <w:color w:val="000000"/>
                      <w:kern w:val="0"/>
                      <w:sz w:val="20"/>
                      <w:szCs w:val="20"/>
                      <w14:ligatures w14:val="none"/>
                    </w:rPr>
                  </w:pPr>
                  <w:r>
                    <w:rPr>
                      <w:rFonts w:ascii="Times New Roman" w:hAnsi="Times New Roman" w:eastAsia="Times New Roman" w:cs="Times New Roman"/>
                      <w:b/>
                      <w:bCs/>
                      <w:color w:val="000000"/>
                      <w:kern w:val="0"/>
                      <w:sz w:val="20"/>
                      <w:szCs w:val="20"/>
                      <w14:ligatures w14:val="none"/>
                    </w:rPr>
                    <w:t>H</w:t>
                  </w:r>
                  <w:r w:rsidRPr="008B6CFA">
                    <w:rPr>
                      <w:rFonts w:ascii="Times New Roman" w:hAnsi="Times New Roman" w:eastAsia="Times New Roman" w:cs="Times New Roman"/>
                      <w:b/>
                      <w:bCs/>
                      <w:color w:val="000000"/>
                      <w:kern w:val="0"/>
                      <w:sz w:val="20"/>
                      <w:szCs w:val="20"/>
                      <w14:ligatures w14:val="none"/>
                    </w:rPr>
                    <w:t xml:space="preserve">ectáreas con potencial de recuperación y rehabilitación </w:t>
                  </w:r>
                  <w:proofErr w:type="spellStart"/>
                  <w:r w:rsidRPr="008B6CFA">
                    <w:rPr>
                      <w:rFonts w:ascii="Times New Roman" w:hAnsi="Times New Roman" w:eastAsia="Times New Roman" w:cs="Times New Roman"/>
                      <w:b/>
                      <w:bCs/>
                      <w:color w:val="000000"/>
                      <w:kern w:val="0"/>
                      <w:sz w:val="20"/>
                      <w:szCs w:val="20"/>
                      <w14:ligatures w14:val="none"/>
                    </w:rPr>
                    <w:t>pos-mineros</w:t>
                  </w:r>
                  <w:proofErr w:type="spellEnd"/>
                </w:p>
              </w:tc>
            </w:tr>
            <w:tr w:rsidRPr="008B6CFA" w:rsidR="00D86E1D" w:rsidTr="00D86E1D" w14:paraId="449A785F" w14:textId="77777777">
              <w:trPr>
                <w:trHeight w:val="792"/>
                <w:jc w:val="center"/>
              </w:trPr>
              <w:tc>
                <w:tcPr>
                  <w:tcW w:w="2857" w:type="dxa"/>
                  <w:tcBorders>
                    <w:top w:val="nil"/>
                    <w:left w:val="single" w:color="auto" w:sz="4" w:space="0"/>
                    <w:bottom w:val="single" w:color="auto" w:sz="4" w:space="0"/>
                    <w:right w:val="single" w:color="auto" w:sz="4" w:space="0"/>
                  </w:tcBorders>
                  <w:vAlign w:val="center"/>
                  <w:hideMark/>
                </w:tcPr>
                <w:p w:rsidRPr="008B6CFA" w:rsidR="00D86E1D" w:rsidP="009A47F9" w:rsidRDefault="00D86E1D" w14:paraId="26A7538B"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8B6CFA">
                    <w:rPr>
                      <w:rFonts w:ascii="Times New Roman" w:hAnsi="Times New Roman" w:eastAsia="Times New Roman" w:cs="Times New Roman"/>
                      <w:color w:val="000000"/>
                      <w:kern w:val="0"/>
                      <w:sz w:val="20"/>
                      <w:szCs w:val="20"/>
                      <w14:ligatures w14:val="none"/>
                    </w:rPr>
                    <w:t xml:space="preserve">Zonas con presencia de EEP o Ecosistema </w:t>
                  </w:r>
                  <w:proofErr w:type="spellStart"/>
                  <w:r w:rsidRPr="008B6CFA">
                    <w:rPr>
                      <w:rFonts w:ascii="Times New Roman" w:hAnsi="Times New Roman" w:eastAsia="Times New Roman" w:cs="Times New Roman"/>
                      <w:color w:val="000000"/>
                      <w:kern w:val="0"/>
                      <w:sz w:val="20"/>
                      <w:szCs w:val="20"/>
                      <w14:ligatures w14:val="none"/>
                    </w:rPr>
                    <w:t>Subxerofitico</w:t>
                  </w:r>
                  <w:proofErr w:type="spellEnd"/>
                  <w:r w:rsidRPr="008B6CFA">
                    <w:rPr>
                      <w:rFonts w:ascii="Times New Roman" w:hAnsi="Times New Roman" w:eastAsia="Times New Roman" w:cs="Times New Roman"/>
                      <w:color w:val="000000"/>
                      <w:kern w:val="0"/>
                      <w:sz w:val="20"/>
                      <w:szCs w:val="20"/>
                      <w14:ligatures w14:val="none"/>
                    </w:rPr>
                    <w:t xml:space="preserve"> o Bosque altoandino en polígonos mineros</w:t>
                  </w:r>
                </w:p>
              </w:tc>
              <w:tc>
                <w:tcPr>
                  <w:tcW w:w="1890" w:type="dxa"/>
                  <w:tcBorders>
                    <w:top w:val="nil"/>
                    <w:left w:val="nil"/>
                    <w:bottom w:val="single" w:color="auto" w:sz="4" w:space="0"/>
                    <w:right w:val="single" w:color="auto" w:sz="4" w:space="0"/>
                  </w:tcBorders>
                  <w:vAlign w:val="center"/>
                  <w:hideMark/>
                </w:tcPr>
                <w:p w:rsidRPr="008B6CFA" w:rsidR="00D86E1D" w:rsidP="009A47F9" w:rsidRDefault="00D86E1D" w14:paraId="7C3CD3E8"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8B6CFA">
                    <w:rPr>
                      <w:rFonts w:ascii="Times New Roman" w:hAnsi="Times New Roman" w:eastAsia="Times New Roman" w:cs="Times New Roman"/>
                      <w:color w:val="000000"/>
                      <w:kern w:val="0"/>
                      <w:sz w:val="20"/>
                      <w:szCs w:val="20"/>
                      <w14:ligatures w14:val="none"/>
                    </w:rPr>
                    <w:t>3943.6</w:t>
                  </w:r>
                </w:p>
              </w:tc>
            </w:tr>
            <w:tr w:rsidRPr="008B6CFA" w:rsidR="00D86E1D" w:rsidTr="004D2718" w14:paraId="5DEA81F0" w14:textId="77777777">
              <w:trPr>
                <w:trHeight w:val="792"/>
                <w:jc w:val="center"/>
              </w:trPr>
              <w:tc>
                <w:tcPr>
                  <w:tcW w:w="2857" w:type="dxa"/>
                  <w:tcBorders>
                    <w:top w:val="nil"/>
                    <w:left w:val="single" w:color="auto" w:sz="4" w:space="0"/>
                    <w:bottom w:val="single" w:color="auto" w:sz="4" w:space="0"/>
                    <w:right w:val="single" w:color="auto" w:sz="4" w:space="0"/>
                  </w:tcBorders>
                  <w:vAlign w:val="center"/>
                  <w:hideMark/>
                </w:tcPr>
                <w:p w:rsidRPr="008B6CFA" w:rsidR="00D86E1D" w:rsidP="009A47F9" w:rsidRDefault="00D86E1D" w14:paraId="7508AF8C"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8B6CFA">
                    <w:rPr>
                      <w:rFonts w:ascii="Times New Roman" w:hAnsi="Times New Roman" w:eastAsia="Times New Roman" w:cs="Times New Roman"/>
                      <w:color w:val="000000"/>
                      <w:kern w:val="0"/>
                      <w:sz w:val="20"/>
                      <w:szCs w:val="20"/>
                      <w14:ligatures w14:val="none"/>
                    </w:rPr>
                    <w:t xml:space="preserve">Zonas con presencia de EEP y Ecosistema </w:t>
                  </w:r>
                  <w:proofErr w:type="spellStart"/>
                  <w:r w:rsidRPr="008B6CFA">
                    <w:rPr>
                      <w:rFonts w:ascii="Times New Roman" w:hAnsi="Times New Roman" w:eastAsia="Times New Roman" w:cs="Times New Roman"/>
                      <w:color w:val="000000"/>
                      <w:kern w:val="0"/>
                      <w:sz w:val="20"/>
                      <w:szCs w:val="20"/>
                      <w14:ligatures w14:val="none"/>
                    </w:rPr>
                    <w:t>Subxerofitico</w:t>
                  </w:r>
                  <w:proofErr w:type="spellEnd"/>
                  <w:r w:rsidRPr="008B6CFA">
                    <w:rPr>
                      <w:rFonts w:ascii="Times New Roman" w:hAnsi="Times New Roman" w:eastAsia="Times New Roman" w:cs="Times New Roman"/>
                      <w:color w:val="000000"/>
                      <w:kern w:val="0"/>
                      <w:sz w:val="20"/>
                      <w:szCs w:val="20"/>
                      <w14:ligatures w14:val="none"/>
                    </w:rPr>
                    <w:t xml:space="preserve"> o Bosque altoandino en </w:t>
                  </w:r>
                  <w:proofErr w:type="spellStart"/>
                  <w:r w:rsidRPr="008B6CFA">
                    <w:rPr>
                      <w:rFonts w:ascii="Times New Roman" w:hAnsi="Times New Roman" w:eastAsia="Times New Roman" w:cs="Times New Roman"/>
                      <w:color w:val="000000"/>
                      <w:kern w:val="0"/>
                      <w:sz w:val="20"/>
                      <w:szCs w:val="20"/>
                      <w14:ligatures w14:val="none"/>
                    </w:rPr>
                    <w:t>poligonos</w:t>
                  </w:r>
                  <w:proofErr w:type="spellEnd"/>
                  <w:r w:rsidRPr="008B6CFA">
                    <w:rPr>
                      <w:rFonts w:ascii="Times New Roman" w:hAnsi="Times New Roman" w:eastAsia="Times New Roman" w:cs="Times New Roman"/>
                      <w:color w:val="000000"/>
                      <w:kern w:val="0"/>
                      <w:sz w:val="20"/>
                      <w:szCs w:val="20"/>
                      <w14:ligatures w14:val="none"/>
                    </w:rPr>
                    <w:t xml:space="preserve"> mineros</w:t>
                  </w:r>
                </w:p>
              </w:tc>
              <w:tc>
                <w:tcPr>
                  <w:tcW w:w="1890" w:type="dxa"/>
                  <w:tcBorders>
                    <w:top w:val="nil"/>
                    <w:left w:val="nil"/>
                    <w:bottom w:val="single" w:color="auto" w:sz="4" w:space="0"/>
                    <w:right w:val="single" w:color="auto" w:sz="4" w:space="0"/>
                  </w:tcBorders>
                  <w:vAlign w:val="center"/>
                  <w:hideMark/>
                </w:tcPr>
                <w:p w:rsidRPr="008B6CFA" w:rsidR="00D86E1D" w:rsidP="009A47F9" w:rsidRDefault="00D86E1D" w14:paraId="6943824C"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8B6CFA">
                    <w:rPr>
                      <w:rFonts w:ascii="Times New Roman" w:hAnsi="Times New Roman" w:eastAsia="Times New Roman" w:cs="Times New Roman"/>
                      <w:color w:val="000000"/>
                      <w:kern w:val="0"/>
                      <w:sz w:val="20"/>
                      <w:szCs w:val="20"/>
                      <w14:ligatures w14:val="none"/>
                    </w:rPr>
                    <w:t>606.5</w:t>
                  </w:r>
                </w:p>
              </w:tc>
            </w:tr>
            <w:tr w:rsidRPr="008B6CFA" w:rsidR="004D2718" w:rsidTr="004D2718" w14:paraId="316D9FED" w14:textId="77777777">
              <w:trPr>
                <w:trHeight w:val="305"/>
                <w:jc w:val="center"/>
              </w:trPr>
              <w:tc>
                <w:tcPr>
                  <w:tcW w:w="2857" w:type="dxa"/>
                  <w:tcBorders>
                    <w:top w:val="single" w:color="auto" w:sz="4" w:space="0"/>
                    <w:left w:val="single" w:color="auto" w:sz="4" w:space="0"/>
                    <w:bottom w:val="single" w:color="auto" w:sz="4" w:space="0"/>
                    <w:right w:val="single" w:color="auto" w:sz="4" w:space="0"/>
                  </w:tcBorders>
                  <w:vAlign w:val="center"/>
                </w:tcPr>
                <w:p w:rsidRPr="008B6CFA" w:rsidR="004D2718" w:rsidP="009A47F9" w:rsidRDefault="004D2718" w14:paraId="4349E7B7" w14:textId="7B310372">
                  <w:pPr>
                    <w:spacing w:after="0" w:line="240" w:lineRule="auto"/>
                    <w:jc w:val="center"/>
                    <w:rPr>
                      <w:rFonts w:ascii="Times New Roman" w:hAnsi="Times New Roman" w:eastAsia="Times New Roman" w:cs="Times New Roman"/>
                      <w:color w:val="000000"/>
                      <w:kern w:val="0"/>
                      <w:sz w:val="20"/>
                      <w:szCs w:val="20"/>
                      <w14:ligatures w14:val="none"/>
                    </w:rPr>
                  </w:pPr>
                  <w:r>
                    <w:rPr>
                      <w:rFonts w:ascii="Times New Roman" w:hAnsi="Times New Roman" w:eastAsia="Times New Roman" w:cs="Times New Roman"/>
                      <w:color w:val="000000"/>
                      <w:kern w:val="0"/>
                      <w:sz w:val="20"/>
                      <w:szCs w:val="20"/>
                      <w14:ligatures w14:val="none"/>
                    </w:rPr>
                    <w:t>Total</w:t>
                  </w:r>
                </w:p>
              </w:tc>
              <w:tc>
                <w:tcPr>
                  <w:tcW w:w="1890" w:type="dxa"/>
                  <w:tcBorders>
                    <w:top w:val="single" w:color="auto" w:sz="4" w:space="0"/>
                    <w:left w:val="nil"/>
                    <w:bottom w:val="single" w:color="auto" w:sz="4" w:space="0"/>
                    <w:right w:val="single" w:color="auto" w:sz="4" w:space="0"/>
                  </w:tcBorders>
                  <w:vAlign w:val="center"/>
                </w:tcPr>
                <w:p w:rsidRPr="008B6CFA" w:rsidR="004D2718" w:rsidP="009A47F9" w:rsidRDefault="004D2718" w14:paraId="054B3645" w14:textId="25119591">
                  <w:pPr>
                    <w:spacing w:after="0" w:line="240" w:lineRule="auto"/>
                    <w:jc w:val="center"/>
                    <w:rPr>
                      <w:rFonts w:ascii="Times New Roman" w:hAnsi="Times New Roman" w:eastAsia="Times New Roman" w:cs="Times New Roman"/>
                      <w:color w:val="000000"/>
                      <w:kern w:val="0"/>
                      <w:sz w:val="20"/>
                      <w:szCs w:val="20"/>
                      <w14:ligatures w14:val="none"/>
                    </w:rPr>
                  </w:pPr>
                  <w:r w:rsidRPr="004D2718">
                    <w:rPr>
                      <w:rFonts w:ascii="Times New Roman" w:hAnsi="Times New Roman" w:eastAsia="Times New Roman" w:cs="Times New Roman"/>
                      <w:color w:val="000000"/>
                      <w:kern w:val="0"/>
                      <w:sz w:val="20"/>
                      <w:szCs w:val="20"/>
                      <w14:ligatures w14:val="none"/>
                    </w:rPr>
                    <w:t>4550.2</w:t>
                  </w:r>
                </w:p>
              </w:tc>
            </w:tr>
          </w:tbl>
          <w:p w:rsidR="00D86E1D" w:rsidP="009A47F9" w:rsidRDefault="00D86E1D" w14:paraId="7F93197C" w14:textId="77777777">
            <w:pPr>
              <w:jc w:val="center"/>
              <w:rPr>
                <w:rFonts w:ascii="Garamond" w:hAnsi="Garamond"/>
                <w:sz w:val="22"/>
                <w:szCs w:val="22"/>
              </w:rPr>
            </w:pPr>
          </w:p>
        </w:tc>
        <w:tc>
          <w:tcPr>
            <w:tcW w:w="4387" w:type="dxa"/>
            <w:vAlign w:val="center"/>
          </w:tcPr>
          <w:p w:rsidRPr="009A47F9" w:rsidR="009A47F9" w:rsidP="009A47F9" w:rsidRDefault="009A47F9" w14:paraId="431945F3" w14:textId="51F7A205">
            <w:pPr>
              <w:jc w:val="center"/>
              <w:rPr>
                <w:rFonts w:ascii="Garamond" w:hAnsi="Garamond"/>
                <w:sz w:val="22"/>
                <w:szCs w:val="22"/>
                <w:lang w:val="en-US"/>
              </w:rPr>
            </w:pPr>
            <w:r w:rsidRPr="009A47F9">
              <w:rPr>
                <w:rFonts w:ascii="Garamond" w:hAnsi="Garamond"/>
                <w:noProof/>
                <w:sz w:val="22"/>
                <w:szCs w:val="22"/>
                <w:lang w:val="en-US"/>
              </w:rPr>
              <w:drawing>
                <wp:inline distT="0" distB="0" distL="0" distR="0" wp14:anchorId="2E24568E" wp14:editId="567FD9D0">
                  <wp:extent cx="2160596" cy="2796540"/>
                  <wp:effectExtent l="0" t="0" r="0" b="3810"/>
                  <wp:docPr id="659187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3679" cy="2800531"/>
                          </a:xfrm>
                          <a:prstGeom prst="rect">
                            <a:avLst/>
                          </a:prstGeom>
                          <a:noFill/>
                          <a:ln>
                            <a:noFill/>
                          </a:ln>
                        </pic:spPr>
                      </pic:pic>
                    </a:graphicData>
                  </a:graphic>
                </wp:inline>
              </w:drawing>
            </w:r>
          </w:p>
          <w:p w:rsidR="00D86E1D" w:rsidP="009A47F9" w:rsidRDefault="00D86E1D" w14:paraId="494596C5" w14:textId="77777777">
            <w:pPr>
              <w:jc w:val="center"/>
              <w:rPr>
                <w:rFonts w:ascii="Garamond" w:hAnsi="Garamond"/>
                <w:sz w:val="22"/>
                <w:szCs w:val="22"/>
              </w:rPr>
            </w:pPr>
          </w:p>
        </w:tc>
      </w:tr>
    </w:tbl>
    <w:p w:rsidR="00521D4D" w:rsidP="00521D4D" w:rsidRDefault="00521D4D" w14:paraId="3358B2C5" w14:textId="531B74F7">
      <w:pPr>
        <w:jc w:val="center"/>
        <w:rPr>
          <w:rFonts w:ascii="Garamond" w:hAnsi="Garamond"/>
          <w:sz w:val="22"/>
          <w:szCs w:val="22"/>
        </w:rPr>
      </w:pPr>
      <w:r w:rsidRPr="00D11C96">
        <w:rPr>
          <w:rFonts w:ascii="Garamond" w:hAnsi="Garamond" w:cs="Arial"/>
          <w:sz w:val="20"/>
          <w:szCs w:val="20"/>
        </w:rPr>
        <w:t>Fuente:</w:t>
      </w:r>
      <w:r>
        <w:rPr>
          <w:rFonts w:ascii="Garamond" w:hAnsi="Garamond" w:cs="Arial"/>
          <w:sz w:val="20"/>
          <w:szCs w:val="20"/>
        </w:rPr>
        <w:t xml:space="preserve"> </w:t>
      </w:r>
      <w:proofErr w:type="spellStart"/>
      <w:r>
        <w:rPr>
          <w:rFonts w:ascii="Garamond" w:hAnsi="Garamond" w:cs="Arial"/>
          <w:sz w:val="20"/>
          <w:szCs w:val="20"/>
        </w:rPr>
        <w:t>MinAmbiente</w:t>
      </w:r>
      <w:proofErr w:type="spellEnd"/>
      <w:r>
        <w:rPr>
          <w:rFonts w:ascii="Garamond" w:hAnsi="Garamond" w:cs="Arial"/>
          <w:sz w:val="20"/>
          <w:szCs w:val="20"/>
        </w:rPr>
        <w:t xml:space="preserve"> (2025)</w:t>
      </w:r>
    </w:p>
    <w:p w:rsidRPr="00D11C96" w:rsidR="002248BB" w:rsidP="000C7FA7" w:rsidRDefault="009A47F9" w14:paraId="407DD8F0" w14:textId="0B82C8A9">
      <w:pPr>
        <w:jc w:val="both"/>
        <w:rPr>
          <w:rFonts w:ascii="Garamond" w:hAnsi="Garamond"/>
          <w:sz w:val="22"/>
          <w:szCs w:val="22"/>
        </w:rPr>
      </w:pPr>
      <w:r>
        <w:rPr>
          <w:rFonts w:ascii="Garamond" w:hAnsi="Garamond"/>
          <w:sz w:val="22"/>
          <w:szCs w:val="22"/>
        </w:rPr>
        <w:t xml:space="preserve">Lo anterior representa una oportunidad a futuro, en cuanto al fomento de trabajos que puedan asumir este </w:t>
      </w:r>
      <w:r w:rsidR="004B2529">
        <w:rPr>
          <w:rFonts w:ascii="Garamond" w:hAnsi="Garamond"/>
          <w:sz w:val="22"/>
          <w:szCs w:val="22"/>
        </w:rPr>
        <w:t>desafío, s</w:t>
      </w:r>
      <w:r w:rsidRPr="00D11C96" w:rsidR="007B6930">
        <w:rPr>
          <w:rFonts w:ascii="Garamond" w:hAnsi="Garamond"/>
          <w:sz w:val="22"/>
          <w:szCs w:val="22"/>
        </w:rPr>
        <w:t xml:space="preserve">i bien en cuanto a empleabilidad verde, </w:t>
      </w:r>
      <w:r w:rsidRPr="00D11C96" w:rsidR="00E1012C">
        <w:rPr>
          <w:rFonts w:ascii="Garamond" w:hAnsi="Garamond"/>
          <w:sz w:val="22"/>
          <w:szCs w:val="22"/>
        </w:rPr>
        <w:t>d</w:t>
      </w:r>
      <w:r w:rsidRPr="00D11C96" w:rsidR="00B25857">
        <w:rPr>
          <w:rFonts w:ascii="Garamond" w:hAnsi="Garamond"/>
          <w:sz w:val="22"/>
          <w:szCs w:val="22"/>
        </w:rPr>
        <w:t>e acuerdo con información de PROBOGOTA (</w:t>
      </w:r>
      <w:r w:rsidRPr="00D11C96" w:rsidR="007017CC">
        <w:rPr>
          <w:rFonts w:ascii="Garamond" w:hAnsi="Garamond"/>
          <w:sz w:val="22"/>
          <w:szCs w:val="22"/>
        </w:rPr>
        <w:t>2024</w:t>
      </w:r>
      <w:r w:rsidRPr="00D11C96" w:rsidR="00B25857">
        <w:rPr>
          <w:rFonts w:ascii="Garamond" w:hAnsi="Garamond"/>
          <w:sz w:val="22"/>
          <w:szCs w:val="22"/>
        </w:rPr>
        <w:t>)</w:t>
      </w:r>
      <w:r w:rsidRPr="00D11C96" w:rsidR="007017CC">
        <w:rPr>
          <w:rFonts w:ascii="Garamond" w:hAnsi="Garamond"/>
          <w:sz w:val="22"/>
          <w:szCs w:val="22"/>
        </w:rPr>
        <w:t xml:space="preserve"> en su documento de empleos verdes, </w:t>
      </w:r>
      <w:r w:rsidRPr="00D11C96" w:rsidR="00B25857">
        <w:rPr>
          <w:rFonts w:ascii="Garamond" w:hAnsi="Garamond"/>
          <w:sz w:val="22"/>
          <w:szCs w:val="22"/>
        </w:rPr>
        <w:t>el contexto del mercado laboral, Bogotá presenta un buen desempeño en las tasas de ocupación</w:t>
      </w:r>
      <w:r w:rsidRPr="00D11C96" w:rsidR="007B6930">
        <w:rPr>
          <w:rFonts w:ascii="Garamond" w:hAnsi="Garamond"/>
          <w:sz w:val="22"/>
          <w:szCs w:val="22"/>
        </w:rPr>
        <w:t xml:space="preserve"> del mercado laboral</w:t>
      </w:r>
      <w:r w:rsidRPr="00D11C96" w:rsidR="00B25857">
        <w:rPr>
          <w:rFonts w:ascii="Garamond" w:hAnsi="Garamond"/>
          <w:sz w:val="22"/>
          <w:szCs w:val="22"/>
        </w:rPr>
        <w:t xml:space="preserve">, considerando que para el 2023 la tasa de ocupación promedio fue del 62,6%, lo que representa un aumento de 3,2 p.p. en comparación con el promedio de 2022, que fue del 59,4%. </w:t>
      </w:r>
    </w:p>
    <w:p w:rsidRPr="00D11C96" w:rsidR="00B25857" w:rsidP="000C7FA7" w:rsidRDefault="00B25857" w14:paraId="00A12E0A" w14:textId="4DA14FC3">
      <w:pPr>
        <w:jc w:val="both"/>
        <w:rPr>
          <w:rFonts w:ascii="Garamond" w:hAnsi="Garamond"/>
          <w:sz w:val="22"/>
          <w:szCs w:val="22"/>
        </w:rPr>
      </w:pPr>
      <w:r w:rsidRPr="00D11C96">
        <w:rPr>
          <w:rFonts w:ascii="Garamond" w:hAnsi="Garamond"/>
          <w:sz w:val="22"/>
          <w:szCs w:val="22"/>
        </w:rPr>
        <w:t>Asimismo, se puede evidenciar en el gráfico a continuación, que los sectores con mayor cantidad de ocupados para 2023 son comercio, administración pública y defensa y actividades profesionales. Los sectores con menos empleados en la ciudad de Bogotá son suministro de electricidad, agua y gestión de desechos, agricultura, ganadería, caza, silvicultura y pesca y explotación de minas y canteras.</w:t>
      </w:r>
    </w:p>
    <w:p w:rsidRPr="00D11C96" w:rsidR="007B6930" w:rsidP="007B6930" w:rsidRDefault="00A76C74" w14:paraId="417992D8" w14:textId="77777777">
      <w:pPr>
        <w:keepNext/>
        <w:jc w:val="center"/>
      </w:pPr>
      <w:r w:rsidRPr="00D11C96">
        <w:rPr>
          <w:rFonts w:ascii="Garamond" w:hAnsi="Garamond"/>
          <w:noProof/>
          <w:sz w:val="22"/>
          <w:szCs w:val="22"/>
        </w:rPr>
        <w:drawing>
          <wp:inline distT="0" distB="0" distL="0" distR="0" wp14:anchorId="4C8EF23D" wp14:editId="22EFFD22">
            <wp:extent cx="5372566" cy="2171888"/>
            <wp:effectExtent l="0" t="0" r="0" b="0"/>
            <wp:docPr id="140043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30675" name=""/>
                    <pic:cNvPicPr/>
                  </pic:nvPicPr>
                  <pic:blipFill>
                    <a:blip r:embed="rId17"/>
                    <a:stretch>
                      <a:fillRect/>
                    </a:stretch>
                  </pic:blipFill>
                  <pic:spPr>
                    <a:xfrm>
                      <a:off x="0" y="0"/>
                      <a:ext cx="5372566" cy="2171888"/>
                    </a:xfrm>
                    <a:prstGeom prst="rect">
                      <a:avLst/>
                    </a:prstGeom>
                  </pic:spPr>
                </pic:pic>
              </a:graphicData>
            </a:graphic>
          </wp:inline>
        </w:drawing>
      </w:r>
    </w:p>
    <w:p w:rsidRPr="00D11C96" w:rsidR="00A76C74" w:rsidP="007B6930" w:rsidRDefault="007B6930" w14:paraId="2BEE1FCA" w14:textId="4E56EBD2">
      <w:pPr>
        <w:pStyle w:val="Caption"/>
        <w:jc w:val="center"/>
        <w:rPr>
          <w:rFonts w:ascii="Garamond" w:hAnsi="Garamond"/>
          <w:color w:val="auto"/>
          <w:sz w:val="22"/>
          <w:szCs w:val="22"/>
        </w:rPr>
      </w:pPr>
      <w:r w:rsidRPr="00D11C96">
        <w:rPr>
          <w:color w:val="auto"/>
        </w:rPr>
        <w:t xml:space="preserve">Ilustración </w:t>
      </w:r>
      <w:r w:rsidRPr="00D11C96">
        <w:rPr>
          <w:color w:val="auto"/>
        </w:rPr>
        <w:fldChar w:fldCharType="begin"/>
      </w:r>
      <w:r w:rsidRPr="00D11C96">
        <w:rPr>
          <w:color w:val="auto"/>
        </w:rPr>
        <w:instrText xml:space="preserve"> SEQ Ilustración \* ARABIC </w:instrText>
      </w:r>
      <w:r w:rsidRPr="00D11C96">
        <w:rPr>
          <w:color w:val="auto"/>
        </w:rPr>
        <w:fldChar w:fldCharType="separate"/>
      </w:r>
      <w:r w:rsidR="00FF34DC">
        <w:rPr>
          <w:noProof/>
          <w:color w:val="auto"/>
        </w:rPr>
        <w:t>5</w:t>
      </w:r>
      <w:r w:rsidRPr="00D11C96">
        <w:rPr>
          <w:color w:val="auto"/>
        </w:rPr>
        <w:fldChar w:fldCharType="end"/>
      </w:r>
      <w:r w:rsidRPr="00D11C96">
        <w:rPr>
          <w:color w:val="auto"/>
        </w:rPr>
        <w:t>.  Participación sectorial en el mercado laboral Bogotá 2023 (PROBOGOTA con datos del DANE 2023)</w:t>
      </w:r>
    </w:p>
    <w:p w:rsidRPr="00D11C96" w:rsidR="00AF3372" w:rsidP="006E5CF5" w:rsidRDefault="00AF3372" w14:paraId="4B3A2D4C" w14:textId="77777777">
      <w:pPr>
        <w:jc w:val="both"/>
        <w:rPr>
          <w:rFonts w:ascii="Garamond" w:hAnsi="Garamond"/>
          <w:sz w:val="22"/>
          <w:szCs w:val="22"/>
        </w:rPr>
      </w:pPr>
      <w:r w:rsidRPr="00D11C96">
        <w:rPr>
          <w:rFonts w:ascii="Garamond" w:hAnsi="Garamond"/>
          <w:sz w:val="22"/>
          <w:szCs w:val="22"/>
        </w:rPr>
        <w:t xml:space="preserve">Los hallazgos muestran que la adaptación del mercado laboral hacia ocupaciones verdes progresa de forma gradual. </w:t>
      </w:r>
      <w:proofErr w:type="spellStart"/>
      <w:r w:rsidRPr="00D11C96">
        <w:rPr>
          <w:rFonts w:ascii="Garamond" w:hAnsi="Garamond"/>
          <w:sz w:val="22"/>
          <w:szCs w:val="22"/>
        </w:rPr>
        <w:t>Probogotá</w:t>
      </w:r>
      <w:proofErr w:type="spellEnd"/>
      <w:r w:rsidRPr="00D11C96">
        <w:rPr>
          <w:rFonts w:ascii="Garamond" w:hAnsi="Garamond"/>
          <w:sz w:val="22"/>
          <w:szCs w:val="22"/>
        </w:rPr>
        <w:t xml:space="preserve"> (2024) señala que aproximadamente cuatro de cada diez empresas buscan talento con competencias vinculadas a la sostenibilidad, mientras que la Secretaría de Desarrollo Económico (2023) reporta que solo el 2,37% de las vacantes registradas en la Agencia Distrital de Empleo —alrededor de 41 mil puestos— se catalogan como verdes. Asimismo, el estudio evidencia que este tipo de habilidades es demandado sobre todo por sectores en consolidación y no por aquellos con mayor trayectoria, lo que evidencia la necesidad de impulsar estrategias de sensibilización en los ámbitos público y privado para ampliar el conocimiento sobre las habilidades verdes y su creciente relevancia en los próximos años. </w:t>
      </w:r>
      <w:proofErr w:type="spellStart"/>
      <w:r w:rsidRPr="00D11C96">
        <w:rPr>
          <w:rFonts w:ascii="Garamond" w:hAnsi="Garamond"/>
          <w:sz w:val="22"/>
          <w:szCs w:val="22"/>
        </w:rPr>
        <w:t>Probogotá</w:t>
      </w:r>
      <w:proofErr w:type="spellEnd"/>
      <w:r w:rsidRPr="00D11C96">
        <w:rPr>
          <w:rFonts w:ascii="Garamond" w:hAnsi="Garamond"/>
          <w:sz w:val="22"/>
          <w:szCs w:val="22"/>
        </w:rPr>
        <w:t xml:space="preserve"> (2024).</w:t>
      </w:r>
    </w:p>
    <w:p w:rsidRPr="00D11C96" w:rsidR="006E5CF5" w:rsidP="006E5CF5" w:rsidRDefault="006E5CF5" w14:paraId="75040D10" w14:textId="63411DE8">
      <w:pPr>
        <w:jc w:val="both"/>
        <w:rPr>
          <w:rFonts w:ascii="Garamond" w:hAnsi="Garamond"/>
          <w:sz w:val="22"/>
          <w:szCs w:val="22"/>
        </w:rPr>
      </w:pPr>
      <w:r w:rsidRPr="00D11C96">
        <w:rPr>
          <w:rFonts w:ascii="Garamond" w:hAnsi="Garamond"/>
          <w:sz w:val="22"/>
          <w:szCs w:val="22"/>
        </w:rPr>
        <w:t xml:space="preserve">De acuerdo con lo anterior, </w:t>
      </w:r>
      <w:r w:rsidR="00862B4C">
        <w:rPr>
          <w:rFonts w:ascii="Garamond" w:hAnsi="Garamond"/>
          <w:sz w:val="22"/>
          <w:szCs w:val="22"/>
        </w:rPr>
        <w:t>si bien las economías verdes no son el sector con mayor participación en el marcado laboral, esto no</w:t>
      </w:r>
      <w:r w:rsidR="007F7C70">
        <w:rPr>
          <w:rFonts w:ascii="Garamond" w:hAnsi="Garamond"/>
          <w:sz w:val="22"/>
          <w:szCs w:val="22"/>
        </w:rPr>
        <w:t xml:space="preserve"> excluye su potencial económico complementario y creciente, p</w:t>
      </w:r>
      <w:r w:rsidRPr="00D11C96" w:rsidR="007F7C70">
        <w:rPr>
          <w:rFonts w:ascii="Garamond" w:hAnsi="Garamond"/>
          <w:sz w:val="22"/>
          <w:szCs w:val="22"/>
        </w:rPr>
        <w:t>or lo que</w:t>
      </w:r>
      <w:r w:rsidR="00306E3E">
        <w:rPr>
          <w:rFonts w:ascii="Garamond" w:hAnsi="Garamond"/>
          <w:sz w:val="22"/>
          <w:szCs w:val="22"/>
        </w:rPr>
        <w:t xml:space="preserve"> al fomentar desde las directrices</w:t>
      </w:r>
      <w:r w:rsidRPr="00D11C96" w:rsidR="007F7C70">
        <w:rPr>
          <w:rFonts w:ascii="Garamond" w:hAnsi="Garamond"/>
          <w:sz w:val="22"/>
          <w:szCs w:val="22"/>
        </w:rPr>
        <w:t xml:space="preserve"> la preservación y restauración de la biodiversidad y de la mayor parte del suelo rural, impulsaría entre otros, el turismo, la restauración ecológica y la bioeconomía, generando ingresos para las comunidades y empresas locales, potenciando el valor de los servicios ecosistémicos.</w:t>
      </w:r>
      <w:r w:rsidR="00306E3E">
        <w:rPr>
          <w:rFonts w:ascii="Garamond" w:hAnsi="Garamond"/>
          <w:sz w:val="22"/>
          <w:szCs w:val="22"/>
        </w:rPr>
        <w:t xml:space="preserve"> A la par en que se </w:t>
      </w:r>
      <w:r w:rsidR="00167014">
        <w:rPr>
          <w:rFonts w:ascii="Garamond" w:hAnsi="Garamond"/>
          <w:sz w:val="22"/>
          <w:szCs w:val="22"/>
        </w:rPr>
        <w:t>aportaría a garantizar</w:t>
      </w:r>
      <w:r w:rsidRPr="00D11C96">
        <w:rPr>
          <w:rFonts w:ascii="Garamond" w:hAnsi="Garamond"/>
          <w:sz w:val="22"/>
          <w:szCs w:val="22"/>
        </w:rPr>
        <w:t xml:space="preserve"> la disponibilidad de servicios ecosistémicos para futuras generaciones</w:t>
      </w:r>
      <w:r w:rsidR="00167014">
        <w:rPr>
          <w:rFonts w:ascii="Garamond" w:hAnsi="Garamond"/>
          <w:sz w:val="22"/>
          <w:szCs w:val="22"/>
        </w:rPr>
        <w:t xml:space="preserve"> y reducir</w:t>
      </w:r>
      <w:r w:rsidRPr="00D11C96">
        <w:rPr>
          <w:rFonts w:ascii="Garamond" w:hAnsi="Garamond"/>
          <w:sz w:val="22"/>
          <w:szCs w:val="22"/>
        </w:rPr>
        <w:t xml:space="preserve"> los costos asociados a la degradación ambiental. </w:t>
      </w:r>
    </w:p>
    <w:p w:rsidRPr="00D11C96" w:rsidR="00DF1D74" w:rsidP="000C7FA7" w:rsidRDefault="002F698B" w14:paraId="3B0AFBB8" w14:textId="72FB13BF">
      <w:pPr>
        <w:jc w:val="both"/>
        <w:rPr>
          <w:rFonts w:ascii="Garamond" w:hAnsi="Garamond"/>
          <w:b/>
          <w:bCs/>
          <w:sz w:val="22"/>
          <w:szCs w:val="22"/>
        </w:rPr>
      </w:pPr>
      <w:r w:rsidRPr="00D11C96">
        <w:rPr>
          <w:rFonts w:ascii="Garamond" w:hAnsi="Garamond"/>
          <w:b/>
          <w:bCs/>
          <w:sz w:val="22"/>
          <w:szCs w:val="22"/>
        </w:rPr>
        <w:t>Calidad del Aire</w:t>
      </w:r>
    </w:p>
    <w:p w:rsidRPr="00D11C96" w:rsidR="000C7FA7" w:rsidP="000C7FA7" w:rsidRDefault="00F93C82" w14:paraId="63953BF8" w14:textId="64CCFCDB">
      <w:pPr>
        <w:jc w:val="both"/>
        <w:rPr>
          <w:rFonts w:ascii="Garamond" w:hAnsi="Garamond"/>
          <w:sz w:val="22"/>
          <w:szCs w:val="22"/>
        </w:rPr>
      </w:pPr>
      <w:r w:rsidRPr="00D11C96">
        <w:rPr>
          <w:rFonts w:ascii="Garamond" w:hAnsi="Garamond"/>
          <w:sz w:val="22"/>
          <w:szCs w:val="22"/>
        </w:rPr>
        <w:t>En términos de la salud ambiental, e</w:t>
      </w:r>
      <w:r w:rsidRPr="00D11C96" w:rsidR="000C7FA7">
        <w:rPr>
          <w:rFonts w:ascii="Garamond" w:hAnsi="Garamond"/>
          <w:sz w:val="22"/>
          <w:szCs w:val="22"/>
        </w:rPr>
        <w:t>l DNP</w:t>
      </w:r>
      <w:r w:rsidRPr="00D11C96" w:rsidR="00DA09C7">
        <w:rPr>
          <w:rFonts w:ascii="Garamond" w:hAnsi="Garamond"/>
          <w:sz w:val="22"/>
          <w:szCs w:val="22"/>
        </w:rPr>
        <w:t xml:space="preserve"> (2017)</w:t>
      </w:r>
      <w:r w:rsidRPr="00D11C96" w:rsidR="000C7FA7">
        <w:rPr>
          <w:rFonts w:ascii="Garamond" w:hAnsi="Garamond"/>
          <w:sz w:val="22"/>
          <w:szCs w:val="22"/>
        </w:rPr>
        <w:t xml:space="preserve"> estima un total de 13.718 muertes y 98 millones de personas afectadas</w:t>
      </w:r>
      <w:r w:rsidRPr="00D11C96">
        <w:rPr>
          <w:rFonts w:ascii="Garamond" w:hAnsi="Garamond"/>
          <w:sz w:val="22"/>
          <w:szCs w:val="22"/>
        </w:rPr>
        <w:t xml:space="preserve"> por enfermedades asociadas a daños ambientales, siendo la contaminación del aire urbano el</w:t>
      </w:r>
      <w:r w:rsidRPr="00D11C96" w:rsidR="000C7FA7">
        <w:rPr>
          <w:rFonts w:ascii="Garamond" w:hAnsi="Garamond"/>
          <w:sz w:val="22"/>
          <w:szCs w:val="22"/>
        </w:rPr>
        <w:t xml:space="preserve"> factor que más víctimas genera</w:t>
      </w:r>
      <w:r w:rsidRPr="00D11C96">
        <w:rPr>
          <w:rFonts w:ascii="Garamond" w:hAnsi="Garamond"/>
          <w:sz w:val="22"/>
          <w:szCs w:val="22"/>
        </w:rPr>
        <w:t>. (SDA, 2017).</w:t>
      </w:r>
      <w:r w:rsidRPr="00D11C96" w:rsidR="3238AAB3">
        <w:rPr>
          <w:rFonts w:ascii="Garamond" w:hAnsi="Garamond"/>
          <w:sz w:val="22"/>
          <w:szCs w:val="22"/>
        </w:rPr>
        <w:t xml:space="preserve"> Según </w:t>
      </w:r>
      <w:r w:rsidRPr="00D11C96" w:rsidR="75740CF1">
        <w:rPr>
          <w:rFonts w:ascii="Garamond" w:hAnsi="Garamond"/>
          <w:sz w:val="22"/>
          <w:szCs w:val="22"/>
        </w:rPr>
        <w:t xml:space="preserve">Plan de Acción Climática en Bogotá </w:t>
      </w:r>
      <w:r w:rsidRPr="00D11C96" w:rsidR="3238AAB3">
        <w:rPr>
          <w:rFonts w:ascii="Garamond" w:hAnsi="Garamond"/>
          <w:sz w:val="22"/>
          <w:szCs w:val="22"/>
        </w:rPr>
        <w:t xml:space="preserve">de la </w:t>
      </w:r>
      <w:r w:rsidRPr="00D11C96" w:rsidR="30A06AED">
        <w:rPr>
          <w:rFonts w:ascii="Garamond" w:hAnsi="Garamond"/>
          <w:sz w:val="22"/>
          <w:szCs w:val="22"/>
        </w:rPr>
        <w:t>secretaria</w:t>
      </w:r>
      <w:r w:rsidRPr="00D11C96" w:rsidR="3238AAB3">
        <w:rPr>
          <w:rFonts w:ascii="Garamond" w:hAnsi="Garamond"/>
          <w:sz w:val="22"/>
          <w:szCs w:val="22"/>
        </w:rPr>
        <w:t xml:space="preserve"> de Ambiente (2021), </w:t>
      </w:r>
      <w:r w:rsidRPr="00D11C96" w:rsidR="5A524B98">
        <w:rPr>
          <w:rFonts w:ascii="Garamond" w:hAnsi="Garamond"/>
          <w:sz w:val="22"/>
          <w:szCs w:val="22"/>
        </w:rPr>
        <w:t>tan solo en producción de CO2 la ciudad de Bogotá emitió 11.421.724 toneladas de CO2 equivalente, distribuidas principalmente en cinco sectores:</w:t>
      </w:r>
    </w:p>
    <w:p w:rsidR="3238AAB3" w:rsidP="139B1CFE" w:rsidRDefault="3238AAB3" w14:paraId="0DDC56AF" w14:textId="66A470D7">
      <w:pPr>
        <w:jc w:val="center"/>
      </w:pPr>
      <w:r w:rsidRPr="00D11C96">
        <w:rPr>
          <w:noProof/>
        </w:rPr>
        <w:drawing>
          <wp:inline distT="0" distB="0" distL="0" distR="0" wp14:anchorId="7E51C235" wp14:editId="6DC1FD21">
            <wp:extent cx="3934788" cy="3619500"/>
            <wp:effectExtent l="0" t="0" r="8890" b="0"/>
            <wp:docPr id="667332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2368" name="Picture 667332368"/>
                    <pic:cNvPicPr/>
                  </pic:nvPicPr>
                  <pic:blipFill>
                    <a:blip r:embed="rId18">
                      <a:extLst>
                        <a:ext uri="{28A0092B-C50C-407E-A947-70E740481C1C}">
                          <a14:useLocalDpi xmlns:a14="http://schemas.microsoft.com/office/drawing/2010/main"/>
                        </a:ext>
                      </a:extLst>
                    </a:blip>
                    <a:stretch>
                      <a:fillRect/>
                    </a:stretch>
                  </pic:blipFill>
                  <pic:spPr>
                    <a:xfrm>
                      <a:off x="0" y="0"/>
                      <a:ext cx="3937599" cy="3622086"/>
                    </a:xfrm>
                    <a:prstGeom prst="rect">
                      <a:avLst/>
                    </a:prstGeom>
                  </pic:spPr>
                </pic:pic>
              </a:graphicData>
            </a:graphic>
          </wp:inline>
        </w:drawing>
      </w:r>
    </w:p>
    <w:p w:rsidR="00AF220B" w:rsidP="00AF220B" w:rsidRDefault="00AF220B" w14:paraId="31A71E60" w14:textId="21A37B9E">
      <w:pPr>
        <w:jc w:val="center"/>
        <w:rPr>
          <w:rFonts w:ascii="Garamond" w:hAnsi="Garamond"/>
          <w:sz w:val="22"/>
          <w:szCs w:val="22"/>
        </w:rPr>
      </w:pPr>
      <w:r w:rsidRPr="00D11C96">
        <w:rPr>
          <w:rFonts w:ascii="Garamond" w:hAnsi="Garamond" w:cs="Arial"/>
          <w:sz w:val="20"/>
          <w:szCs w:val="20"/>
        </w:rPr>
        <w:t>Fuente:</w:t>
      </w:r>
      <w:r>
        <w:rPr>
          <w:rFonts w:ascii="Garamond" w:hAnsi="Garamond" w:cs="Arial"/>
          <w:sz w:val="20"/>
          <w:szCs w:val="20"/>
        </w:rPr>
        <w:t xml:space="preserve"> </w:t>
      </w:r>
      <w:proofErr w:type="spellStart"/>
      <w:r>
        <w:rPr>
          <w:rFonts w:ascii="Garamond" w:hAnsi="Garamond" w:cs="Arial"/>
          <w:sz w:val="20"/>
          <w:szCs w:val="20"/>
        </w:rPr>
        <w:t>PlanAire</w:t>
      </w:r>
      <w:proofErr w:type="spellEnd"/>
      <w:r w:rsidR="000F4DA0">
        <w:rPr>
          <w:rFonts w:ascii="Garamond" w:hAnsi="Garamond" w:cs="Arial"/>
          <w:sz w:val="20"/>
          <w:szCs w:val="20"/>
        </w:rPr>
        <w:t xml:space="preserve"> 2030</w:t>
      </w:r>
      <w:r>
        <w:rPr>
          <w:rFonts w:ascii="Garamond" w:hAnsi="Garamond" w:cs="Arial"/>
          <w:sz w:val="20"/>
          <w:szCs w:val="20"/>
        </w:rPr>
        <w:t xml:space="preserve"> (</w:t>
      </w:r>
      <w:r w:rsidR="000F4DA0">
        <w:rPr>
          <w:rFonts w:ascii="Garamond" w:hAnsi="Garamond" w:cs="Arial"/>
          <w:sz w:val="20"/>
          <w:szCs w:val="20"/>
        </w:rPr>
        <w:t xml:space="preserve">SDA </w:t>
      </w:r>
      <w:r>
        <w:rPr>
          <w:rFonts w:ascii="Garamond" w:hAnsi="Garamond" w:cs="Arial"/>
          <w:sz w:val="20"/>
          <w:szCs w:val="20"/>
        </w:rPr>
        <w:t>202</w:t>
      </w:r>
      <w:r w:rsidR="000F4DA0">
        <w:rPr>
          <w:rFonts w:ascii="Garamond" w:hAnsi="Garamond" w:cs="Arial"/>
          <w:sz w:val="20"/>
          <w:szCs w:val="20"/>
        </w:rPr>
        <w:t>4</w:t>
      </w:r>
      <w:r>
        <w:rPr>
          <w:rFonts w:ascii="Garamond" w:hAnsi="Garamond" w:cs="Arial"/>
          <w:sz w:val="20"/>
          <w:szCs w:val="20"/>
        </w:rPr>
        <w:t>)</w:t>
      </w:r>
    </w:p>
    <w:p w:rsidRPr="00D11C96" w:rsidR="000C7FA7" w:rsidP="000C7FA7" w:rsidRDefault="00F93C82" w14:paraId="6F2A97A5" w14:textId="72458C19">
      <w:pPr>
        <w:jc w:val="both"/>
        <w:rPr>
          <w:rFonts w:ascii="Garamond" w:hAnsi="Garamond"/>
          <w:sz w:val="22"/>
          <w:szCs w:val="22"/>
        </w:rPr>
      </w:pPr>
      <w:r w:rsidRPr="00D11C96">
        <w:rPr>
          <w:rFonts w:ascii="Garamond" w:hAnsi="Garamond"/>
          <w:sz w:val="22"/>
          <w:szCs w:val="22"/>
        </w:rPr>
        <w:t>De acuerdo con la SDA (2017) con base en datos del DNP, a</w:t>
      </w:r>
      <w:r w:rsidRPr="00D11C96" w:rsidR="000C7FA7">
        <w:rPr>
          <w:rFonts w:ascii="Garamond" w:hAnsi="Garamond"/>
          <w:sz w:val="22"/>
          <w:szCs w:val="22"/>
        </w:rPr>
        <w:t xml:space="preserve">tender las enfermedades relacionadas a la degradación ambiental les está costando a los colombianos $20,7 billones, el equivalente al 2,6% del PIB del año 2015, </w:t>
      </w:r>
      <w:r w:rsidRPr="00D11C96">
        <w:rPr>
          <w:rFonts w:ascii="Garamond" w:hAnsi="Garamond"/>
          <w:sz w:val="22"/>
          <w:szCs w:val="22"/>
        </w:rPr>
        <w:t>según el informe de c</w:t>
      </w:r>
      <w:r w:rsidRPr="00D11C96" w:rsidR="000C7FA7">
        <w:rPr>
          <w:rFonts w:ascii="Garamond" w:hAnsi="Garamond"/>
          <w:sz w:val="22"/>
          <w:szCs w:val="22"/>
        </w:rPr>
        <w:t>ostos en salud asociados a la degradación ambiental para el 2015.</w:t>
      </w:r>
    </w:p>
    <w:p w:rsidRPr="00D11C96" w:rsidR="000C7FA7" w:rsidP="000C7FA7" w:rsidRDefault="000C7FA7" w14:paraId="50088D20" w14:textId="47B009E7">
      <w:pPr>
        <w:jc w:val="both"/>
        <w:rPr>
          <w:rFonts w:ascii="Garamond" w:hAnsi="Garamond"/>
          <w:sz w:val="22"/>
          <w:szCs w:val="22"/>
        </w:rPr>
      </w:pPr>
      <w:r w:rsidRPr="00D11C96">
        <w:rPr>
          <w:rFonts w:ascii="Garamond" w:hAnsi="Garamond"/>
          <w:sz w:val="22"/>
          <w:szCs w:val="22"/>
        </w:rPr>
        <w:t>Sólo la contaminación del aire urbano aportó el 75% del costo, con $15,4 billones (1,93% del PIB de 2015), al dejar un promedio de 10.527 muertes y 67,8 millones de síntomas y enfermedades. Mientras a la contaminación del aire interior se le atribuye 2.286 muertes y 1,2 millones de enfermedades con costos por mortalidad prematura y atención de enfermedades que superan los $3 billones</w:t>
      </w:r>
      <w:r w:rsidRPr="00D11C96" w:rsidR="00F93C82">
        <w:rPr>
          <w:rFonts w:ascii="Garamond" w:hAnsi="Garamond"/>
          <w:sz w:val="22"/>
          <w:szCs w:val="22"/>
        </w:rPr>
        <w:t xml:space="preserve"> (SDA, 2017).</w:t>
      </w:r>
    </w:p>
    <w:p w:rsidRPr="00D11C96" w:rsidR="00DA44ED" w:rsidP="00CF5B58" w:rsidRDefault="000C7FA7" w14:paraId="3400BA71" w14:textId="3E7DE42D">
      <w:pPr>
        <w:jc w:val="both"/>
        <w:rPr>
          <w:rFonts w:ascii="Garamond" w:hAnsi="Garamond"/>
          <w:sz w:val="22"/>
          <w:szCs w:val="22"/>
        </w:rPr>
      </w:pPr>
      <w:r w:rsidRPr="00D11C96">
        <w:rPr>
          <w:rFonts w:ascii="Garamond" w:hAnsi="Garamond"/>
          <w:sz w:val="22"/>
          <w:szCs w:val="22"/>
        </w:rPr>
        <w:t>En palabras</w:t>
      </w:r>
      <w:r w:rsidRPr="00D11C96" w:rsidR="00DA44ED">
        <w:rPr>
          <w:rFonts w:ascii="Garamond" w:hAnsi="Garamond"/>
          <w:sz w:val="22"/>
          <w:szCs w:val="22"/>
        </w:rPr>
        <w:t xml:space="preserve"> de la SDA (2017)</w:t>
      </w:r>
      <w:r w:rsidRPr="00D11C96">
        <w:rPr>
          <w:rFonts w:ascii="Garamond" w:hAnsi="Garamond"/>
          <w:sz w:val="22"/>
          <w:szCs w:val="22"/>
        </w:rPr>
        <w:t>, a la contaminación del aire urbano se le atribuyen el 77% de las muertes, seguida de la contaminación del aire interior, con el 17%, y las deficiencias en servicios públicos con un 6%</w:t>
      </w:r>
      <w:r w:rsidRPr="00D11C96" w:rsidR="00273A85">
        <w:rPr>
          <w:rFonts w:ascii="Garamond" w:hAnsi="Garamond"/>
          <w:sz w:val="22"/>
          <w:szCs w:val="22"/>
        </w:rPr>
        <w:t>.</w:t>
      </w:r>
      <w:r w:rsidRPr="00D11C96" w:rsidR="00127BC7">
        <w:rPr>
          <w:rFonts w:ascii="Garamond" w:hAnsi="Garamond"/>
          <w:sz w:val="22"/>
          <w:szCs w:val="22"/>
        </w:rPr>
        <w:t xml:space="preserve"> Según el Plan Aire 2030 de la SDA (</w:t>
      </w:r>
      <w:r w:rsidRPr="00D11C96" w:rsidR="005E452B">
        <w:rPr>
          <w:rFonts w:ascii="Garamond" w:hAnsi="Garamond"/>
          <w:sz w:val="22"/>
          <w:szCs w:val="22"/>
        </w:rPr>
        <w:t>2021</w:t>
      </w:r>
      <w:r w:rsidRPr="00D11C96" w:rsidR="00127BC7">
        <w:rPr>
          <w:rFonts w:ascii="Garamond" w:hAnsi="Garamond"/>
          <w:sz w:val="22"/>
          <w:szCs w:val="22"/>
        </w:rPr>
        <w:t>)</w:t>
      </w:r>
      <w:r w:rsidRPr="00D11C96" w:rsidR="00CF5B58">
        <w:rPr>
          <w:rFonts w:ascii="Garamond" w:hAnsi="Garamond"/>
          <w:sz w:val="22"/>
          <w:szCs w:val="22"/>
        </w:rPr>
        <w:t xml:space="preserve"> en promedio en los últimos años se han presentado 40943 (Secretaría Distrital de Salud, 2019) casos de Infecciones Respiratorias Agudas -IRA- en los menores de 5 años por contaminación del aire y 2320 (Secretaría Distrital de Salud, 2019) muertes por enfermedades respiratorias y cardiovasculares en mayores de 25 años a causa de este factor de riesgo ambiental.</w:t>
      </w:r>
    </w:p>
    <w:tbl>
      <w:tblPr>
        <w:tblW w:w="0" w:type="auto"/>
        <w:tblLook w:val="04A0" w:firstRow="1" w:lastRow="0" w:firstColumn="1" w:lastColumn="0" w:noHBand="0" w:noVBand="1"/>
      </w:tblPr>
      <w:tblGrid>
        <w:gridCol w:w="4135"/>
        <w:gridCol w:w="2981"/>
        <w:gridCol w:w="2234"/>
      </w:tblGrid>
      <w:tr w:rsidRPr="00D11C96" w:rsidR="001C61DA" w:rsidTr="001C61DA" w14:paraId="412FDE81" w14:textId="77777777">
        <w:trPr>
          <w:trHeight w:val="528"/>
        </w:trPr>
        <w:tc>
          <w:tcPr>
            <w:tcW w:w="4135" w:type="dxa"/>
            <w:tcBorders>
              <w:top w:val="single" w:color="auto" w:sz="4" w:space="0"/>
              <w:left w:val="single" w:color="auto" w:sz="4" w:space="0"/>
              <w:bottom w:val="single" w:color="auto" w:sz="4" w:space="0"/>
              <w:right w:val="single" w:color="auto" w:sz="4" w:space="0"/>
            </w:tcBorders>
            <w:noWrap/>
            <w:vAlign w:val="center"/>
            <w:hideMark/>
          </w:tcPr>
          <w:p w:rsidRPr="00D11C96" w:rsidR="001C61DA" w:rsidP="001C61DA" w:rsidRDefault="001C61DA" w14:paraId="66AC18E8"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Enfermedad</w:t>
            </w:r>
          </w:p>
        </w:tc>
        <w:tc>
          <w:tcPr>
            <w:tcW w:w="2981" w:type="dxa"/>
            <w:tcBorders>
              <w:top w:val="single" w:color="auto" w:sz="4" w:space="0"/>
              <w:left w:val="nil"/>
              <w:bottom w:val="single" w:color="auto" w:sz="4" w:space="0"/>
              <w:right w:val="single" w:color="auto" w:sz="4" w:space="0"/>
            </w:tcBorders>
            <w:noWrap/>
            <w:vAlign w:val="center"/>
            <w:hideMark/>
          </w:tcPr>
          <w:p w:rsidRPr="00D11C96" w:rsidR="001C61DA" w:rsidP="001C61DA" w:rsidRDefault="001C61DA" w14:paraId="73446D45"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Número de muertes atribuidas a PM2.5</w:t>
            </w:r>
          </w:p>
        </w:tc>
        <w:tc>
          <w:tcPr>
            <w:tcW w:w="2234" w:type="dxa"/>
            <w:tcBorders>
              <w:top w:val="single" w:color="auto" w:sz="4" w:space="0"/>
              <w:left w:val="nil"/>
              <w:bottom w:val="single" w:color="auto" w:sz="4" w:space="0"/>
              <w:right w:val="single" w:color="auto" w:sz="4" w:space="0"/>
            </w:tcBorders>
            <w:vAlign w:val="center"/>
            <w:hideMark/>
          </w:tcPr>
          <w:p w:rsidRPr="00D11C96" w:rsidR="001C61DA" w:rsidP="001C61DA" w:rsidRDefault="001C61DA" w14:paraId="2320ECF9"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Tasa por 100000</w:t>
            </w:r>
            <w:r w:rsidRPr="00D11C96">
              <w:rPr>
                <w:rFonts w:ascii="Times New Roman" w:hAnsi="Times New Roman" w:eastAsia="Times New Roman" w:cs="Times New Roman"/>
                <w:color w:val="000000"/>
                <w:kern w:val="0"/>
                <w:sz w:val="20"/>
                <w:szCs w:val="20"/>
                <w14:ligatures w14:val="none"/>
              </w:rPr>
              <w:br/>
            </w:r>
            <w:r w:rsidRPr="00D11C96">
              <w:rPr>
                <w:rFonts w:ascii="Times New Roman" w:hAnsi="Times New Roman" w:eastAsia="Times New Roman" w:cs="Times New Roman"/>
                <w:color w:val="000000"/>
                <w:kern w:val="0"/>
                <w:sz w:val="20"/>
                <w:szCs w:val="20"/>
                <w14:ligatures w14:val="none"/>
              </w:rPr>
              <w:t>habitantes</w:t>
            </w:r>
          </w:p>
        </w:tc>
      </w:tr>
      <w:tr w:rsidRPr="00D11C96" w:rsidR="001C61DA" w:rsidTr="001C61DA" w14:paraId="7C40685E"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6477D0BB"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Enfermedad isquémica corazón (EIC) de 25 años y más</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638F75EA"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1591</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11AB8600"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31.4</w:t>
            </w:r>
          </w:p>
        </w:tc>
      </w:tr>
      <w:tr w:rsidRPr="00D11C96" w:rsidR="001C61DA" w:rsidTr="001C61DA" w14:paraId="12B63308"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4DF0CB18"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Enfermedad pulmonar obstructiva crónica (EPOC) de 30 años y más</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29AC35C1"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376</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4E970561"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8.59</w:t>
            </w:r>
          </w:p>
        </w:tc>
      </w:tr>
      <w:tr w:rsidRPr="00D11C96" w:rsidR="001C61DA" w:rsidTr="001C61DA" w14:paraId="45BFF7BB"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72D076BF"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Enfermedad cerebro vascular (ACV) de 25 años y más</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42686A1C"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275</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3ABB7D3A"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5.43</w:t>
            </w:r>
          </w:p>
        </w:tc>
      </w:tr>
      <w:tr w:rsidRPr="00D11C96" w:rsidR="001C61DA" w:rsidTr="001C61DA" w14:paraId="68D816BD"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708F9CB8"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Cáncer de pulmón de 30 años y más</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507C2C3D"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68</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46BA017E"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1.55</w:t>
            </w:r>
          </w:p>
        </w:tc>
      </w:tr>
      <w:tr w:rsidRPr="00D11C96" w:rsidR="001C61DA" w:rsidTr="001C61DA" w14:paraId="1F1289A7"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44ED33F1"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Infección respiratoria aguda (IRA) de 0 a 4 años</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5AEE71E0"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10</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0893899A"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1.69</w:t>
            </w:r>
          </w:p>
        </w:tc>
      </w:tr>
      <w:tr w:rsidRPr="00D11C96" w:rsidR="001C61DA" w:rsidTr="001C61DA" w14:paraId="63394637" w14:textId="77777777">
        <w:trPr>
          <w:trHeight w:val="264"/>
        </w:trPr>
        <w:tc>
          <w:tcPr>
            <w:tcW w:w="4135" w:type="dxa"/>
            <w:tcBorders>
              <w:top w:val="nil"/>
              <w:left w:val="single" w:color="auto" w:sz="4" w:space="0"/>
              <w:bottom w:val="single" w:color="auto" w:sz="4" w:space="0"/>
              <w:right w:val="single" w:color="auto" w:sz="4" w:space="0"/>
            </w:tcBorders>
            <w:noWrap/>
            <w:vAlign w:val="center"/>
            <w:hideMark/>
          </w:tcPr>
          <w:p w:rsidRPr="00D11C96" w:rsidR="001C61DA" w:rsidP="001C61DA" w:rsidRDefault="001C61DA" w14:paraId="253781B1"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Total</w:t>
            </w:r>
          </w:p>
        </w:tc>
        <w:tc>
          <w:tcPr>
            <w:tcW w:w="2981" w:type="dxa"/>
            <w:tcBorders>
              <w:top w:val="nil"/>
              <w:left w:val="nil"/>
              <w:bottom w:val="single" w:color="auto" w:sz="4" w:space="0"/>
              <w:right w:val="single" w:color="auto" w:sz="4" w:space="0"/>
            </w:tcBorders>
            <w:noWrap/>
            <w:vAlign w:val="center"/>
            <w:hideMark/>
          </w:tcPr>
          <w:p w:rsidRPr="00D11C96" w:rsidR="001C61DA" w:rsidP="001C61DA" w:rsidRDefault="001C61DA" w14:paraId="5D773BB7"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2320</w:t>
            </w:r>
          </w:p>
        </w:tc>
        <w:tc>
          <w:tcPr>
            <w:tcW w:w="2234" w:type="dxa"/>
            <w:tcBorders>
              <w:top w:val="nil"/>
              <w:left w:val="nil"/>
              <w:bottom w:val="single" w:color="auto" w:sz="4" w:space="0"/>
              <w:right w:val="single" w:color="auto" w:sz="4" w:space="0"/>
            </w:tcBorders>
            <w:noWrap/>
            <w:vAlign w:val="center"/>
            <w:hideMark/>
          </w:tcPr>
          <w:p w:rsidRPr="00D11C96" w:rsidR="001C61DA" w:rsidP="001C61DA" w:rsidRDefault="001C61DA" w14:paraId="423AC235" w14:textId="77777777">
            <w:pPr>
              <w:spacing w:after="0" w:line="240" w:lineRule="auto"/>
              <w:jc w:val="center"/>
              <w:rPr>
                <w:rFonts w:ascii="Times New Roman" w:hAnsi="Times New Roman" w:eastAsia="Times New Roman" w:cs="Times New Roman"/>
                <w:color w:val="000000"/>
                <w:kern w:val="0"/>
                <w:sz w:val="20"/>
                <w:szCs w:val="20"/>
                <w14:ligatures w14:val="none"/>
              </w:rPr>
            </w:pPr>
            <w:r w:rsidRPr="00D11C96">
              <w:rPr>
                <w:rFonts w:ascii="Times New Roman" w:hAnsi="Times New Roman" w:eastAsia="Times New Roman" w:cs="Times New Roman"/>
                <w:color w:val="000000"/>
                <w:kern w:val="0"/>
                <w:sz w:val="20"/>
                <w:szCs w:val="20"/>
                <w14:ligatures w14:val="none"/>
              </w:rPr>
              <w:t>40.87</w:t>
            </w:r>
          </w:p>
        </w:tc>
      </w:tr>
    </w:tbl>
    <w:p w:rsidR="00194D0C" w:rsidP="00194D0C" w:rsidRDefault="00194D0C" w14:paraId="076FC315" w14:textId="77777777">
      <w:pPr>
        <w:jc w:val="center"/>
        <w:rPr>
          <w:rFonts w:ascii="Garamond" w:hAnsi="Garamond"/>
          <w:sz w:val="22"/>
          <w:szCs w:val="22"/>
        </w:rPr>
      </w:pPr>
      <w:r w:rsidRPr="00D11C96">
        <w:rPr>
          <w:rFonts w:ascii="Garamond" w:hAnsi="Garamond" w:cs="Arial"/>
          <w:sz w:val="20"/>
          <w:szCs w:val="20"/>
        </w:rPr>
        <w:t>Fuente:</w:t>
      </w:r>
      <w:r>
        <w:rPr>
          <w:rFonts w:ascii="Garamond" w:hAnsi="Garamond" w:cs="Arial"/>
          <w:sz w:val="20"/>
          <w:szCs w:val="20"/>
        </w:rPr>
        <w:t xml:space="preserve"> </w:t>
      </w:r>
      <w:proofErr w:type="spellStart"/>
      <w:r>
        <w:rPr>
          <w:rFonts w:ascii="Garamond" w:hAnsi="Garamond" w:cs="Arial"/>
          <w:sz w:val="20"/>
          <w:szCs w:val="20"/>
        </w:rPr>
        <w:t>PlanAire</w:t>
      </w:r>
      <w:proofErr w:type="spellEnd"/>
      <w:r>
        <w:rPr>
          <w:rFonts w:ascii="Garamond" w:hAnsi="Garamond" w:cs="Arial"/>
          <w:sz w:val="20"/>
          <w:szCs w:val="20"/>
        </w:rPr>
        <w:t xml:space="preserve"> 2030 (SDA 2024)</w:t>
      </w:r>
    </w:p>
    <w:p w:rsidRPr="00D11C96" w:rsidR="000C7FA7" w:rsidP="000C7FA7" w:rsidRDefault="00B564EE" w14:paraId="20CCF0EC" w14:textId="6F99A58A">
      <w:pPr>
        <w:jc w:val="both"/>
        <w:rPr>
          <w:rFonts w:ascii="Garamond" w:hAnsi="Garamond"/>
          <w:sz w:val="22"/>
          <w:szCs w:val="22"/>
        </w:rPr>
      </w:pPr>
      <w:r w:rsidRPr="00D11C96">
        <w:rPr>
          <w:rFonts w:ascii="Garamond" w:hAnsi="Garamond"/>
          <w:sz w:val="22"/>
          <w:szCs w:val="22"/>
        </w:rPr>
        <w:t>En el informe relacionado por la SDA (2017), se establece que, si bien l</w:t>
      </w:r>
      <w:r w:rsidRPr="00D11C96" w:rsidR="000C7FA7">
        <w:rPr>
          <w:rFonts w:ascii="Garamond" w:hAnsi="Garamond"/>
          <w:sz w:val="22"/>
          <w:szCs w:val="22"/>
        </w:rPr>
        <w:t>as enfermedades y muertes asociadas a daños ambientales son diversas</w:t>
      </w:r>
      <w:r w:rsidRPr="00D11C96">
        <w:rPr>
          <w:rFonts w:ascii="Garamond" w:hAnsi="Garamond"/>
          <w:sz w:val="22"/>
          <w:szCs w:val="22"/>
        </w:rPr>
        <w:t>, si se categorizan algunas de ellas a escenario de degradación ambiental concretos, como lo es en el caso de la</w:t>
      </w:r>
      <w:r w:rsidRPr="00D11C96" w:rsidR="000C7FA7">
        <w:rPr>
          <w:rFonts w:ascii="Garamond" w:hAnsi="Garamond"/>
          <w:sz w:val="22"/>
          <w:szCs w:val="22"/>
        </w:rPr>
        <w:t xml:space="preserve"> contaminación del aire urbano, </w:t>
      </w:r>
      <w:r w:rsidRPr="00D11C96">
        <w:rPr>
          <w:rFonts w:ascii="Garamond" w:hAnsi="Garamond"/>
          <w:sz w:val="22"/>
          <w:szCs w:val="22"/>
        </w:rPr>
        <w:t xml:space="preserve">entre las cuales se resalta </w:t>
      </w:r>
      <w:r w:rsidRPr="00D11C96" w:rsidR="000C7FA7">
        <w:rPr>
          <w:rFonts w:ascii="Garamond" w:hAnsi="Garamond"/>
          <w:sz w:val="22"/>
          <w:szCs w:val="22"/>
        </w:rPr>
        <w:t xml:space="preserve">el cáncer de pulmón y las enfermedades cardiopulmonares. Por </w:t>
      </w:r>
      <w:r w:rsidRPr="00D11C96">
        <w:rPr>
          <w:rFonts w:ascii="Garamond" w:hAnsi="Garamond"/>
          <w:sz w:val="22"/>
          <w:szCs w:val="22"/>
        </w:rPr>
        <w:t>otra</w:t>
      </w:r>
      <w:r w:rsidRPr="00D11C96" w:rsidR="000C7FA7">
        <w:rPr>
          <w:rFonts w:ascii="Garamond" w:hAnsi="Garamond"/>
          <w:sz w:val="22"/>
          <w:szCs w:val="22"/>
        </w:rPr>
        <w:t xml:space="preserve"> parte, </w:t>
      </w:r>
      <w:r w:rsidRPr="00D11C96">
        <w:rPr>
          <w:rFonts w:ascii="Garamond" w:hAnsi="Garamond"/>
          <w:sz w:val="22"/>
          <w:szCs w:val="22"/>
        </w:rPr>
        <w:t>entre las enfermedades</w:t>
      </w:r>
      <w:r w:rsidRPr="00D11C96" w:rsidR="000C7FA7">
        <w:rPr>
          <w:rFonts w:ascii="Garamond" w:hAnsi="Garamond"/>
          <w:sz w:val="22"/>
          <w:szCs w:val="22"/>
        </w:rPr>
        <w:t xml:space="preserve"> atribuibles a la contaminación del aire interno tienen una gama más amplia e incluyen infecciones respiratorias, tumores en tráqueas, bronquios y pulmones, enfermedades hipertensivas y enfermedades cerebrovasculares entre otras</w:t>
      </w:r>
      <w:r w:rsidRPr="00D11C96">
        <w:rPr>
          <w:rFonts w:ascii="Garamond" w:hAnsi="Garamond"/>
          <w:sz w:val="22"/>
          <w:szCs w:val="22"/>
        </w:rPr>
        <w:t>. E</w:t>
      </w:r>
      <w:r w:rsidRPr="00D11C96" w:rsidR="000C7FA7">
        <w:rPr>
          <w:rFonts w:ascii="Garamond" w:hAnsi="Garamond"/>
          <w:sz w:val="22"/>
          <w:szCs w:val="22"/>
        </w:rPr>
        <w:t xml:space="preserve">n </w:t>
      </w:r>
      <w:r w:rsidRPr="00D11C96">
        <w:rPr>
          <w:rFonts w:ascii="Garamond" w:hAnsi="Garamond"/>
          <w:sz w:val="22"/>
          <w:szCs w:val="22"/>
        </w:rPr>
        <w:t>el caso de enfermedades relacionadas</w:t>
      </w:r>
      <w:r w:rsidRPr="00D11C96" w:rsidR="000C7FA7">
        <w:rPr>
          <w:rFonts w:ascii="Garamond" w:hAnsi="Garamond"/>
          <w:sz w:val="22"/>
          <w:szCs w:val="22"/>
        </w:rPr>
        <w:t xml:space="preserve"> con la falta de servicios públicos, el DNP incluye a las enfermedades infecciosas intestinales, la desnutrición por diarrea, la malaria, el sarampión y la desnutrición proteínica, entre otras.</w:t>
      </w:r>
    </w:p>
    <w:p w:rsidRPr="00D11C96" w:rsidR="000C7FA7" w:rsidP="000C7FA7" w:rsidRDefault="00B564EE" w14:paraId="1FAC1AC7" w14:textId="442F22D0">
      <w:pPr>
        <w:jc w:val="both"/>
        <w:rPr>
          <w:rFonts w:ascii="Garamond" w:hAnsi="Garamond"/>
          <w:sz w:val="22"/>
          <w:szCs w:val="22"/>
        </w:rPr>
      </w:pPr>
      <w:r w:rsidRPr="00D11C96">
        <w:rPr>
          <w:rFonts w:ascii="Garamond" w:hAnsi="Garamond"/>
          <w:sz w:val="22"/>
          <w:szCs w:val="22"/>
        </w:rPr>
        <w:t xml:space="preserve">Lo anterior implica grandes costos para la Sabana de </w:t>
      </w:r>
      <w:r w:rsidRPr="00D11C96" w:rsidR="000C7FA7">
        <w:rPr>
          <w:rFonts w:ascii="Garamond" w:hAnsi="Garamond"/>
          <w:sz w:val="22"/>
          <w:szCs w:val="22"/>
        </w:rPr>
        <w:t>Bogotá</w:t>
      </w:r>
      <w:r w:rsidRPr="00D11C96">
        <w:rPr>
          <w:rFonts w:ascii="Garamond" w:hAnsi="Garamond"/>
          <w:sz w:val="22"/>
          <w:szCs w:val="22"/>
        </w:rPr>
        <w:t xml:space="preserve">, </w:t>
      </w:r>
      <w:r w:rsidRPr="00D11C96" w:rsidR="000C7FA7">
        <w:rPr>
          <w:rFonts w:ascii="Garamond" w:hAnsi="Garamond"/>
          <w:sz w:val="22"/>
          <w:szCs w:val="22"/>
        </w:rPr>
        <w:t xml:space="preserve">donde </w:t>
      </w:r>
      <w:r w:rsidRPr="00D11C96">
        <w:rPr>
          <w:rFonts w:ascii="Garamond" w:hAnsi="Garamond"/>
          <w:sz w:val="22"/>
          <w:szCs w:val="22"/>
        </w:rPr>
        <w:t xml:space="preserve">en las grandes </w:t>
      </w:r>
      <w:r w:rsidRPr="00D11C96" w:rsidR="00DF1D74">
        <w:rPr>
          <w:rFonts w:ascii="Garamond" w:hAnsi="Garamond"/>
          <w:sz w:val="22"/>
          <w:szCs w:val="22"/>
        </w:rPr>
        <w:t>ciudades</w:t>
      </w:r>
      <w:r w:rsidRPr="00D11C96">
        <w:rPr>
          <w:rFonts w:ascii="Garamond" w:hAnsi="Garamond"/>
          <w:sz w:val="22"/>
          <w:szCs w:val="22"/>
        </w:rPr>
        <w:t xml:space="preserve"> en especial la Capital del país,</w:t>
      </w:r>
      <w:r w:rsidRPr="00D11C96" w:rsidR="00DF1D74">
        <w:rPr>
          <w:rFonts w:ascii="Garamond" w:hAnsi="Garamond"/>
          <w:sz w:val="22"/>
          <w:szCs w:val="22"/>
        </w:rPr>
        <w:t xml:space="preserve"> </w:t>
      </w:r>
      <w:r w:rsidRPr="00D11C96" w:rsidR="000C7FA7">
        <w:rPr>
          <w:rFonts w:ascii="Garamond" w:hAnsi="Garamond"/>
          <w:sz w:val="22"/>
          <w:szCs w:val="22"/>
        </w:rPr>
        <w:t>se presentaron más muertes por contaminación del aire urbano, con el 10.5% de muertes (3.219), que le costaron a la ciudad $4,2 billones, lo que equivale 2,5% de su PIB</w:t>
      </w:r>
      <w:r w:rsidRPr="00D11C96" w:rsidR="00DF1D74">
        <w:rPr>
          <w:rFonts w:ascii="Garamond" w:hAnsi="Garamond"/>
          <w:sz w:val="22"/>
          <w:szCs w:val="22"/>
        </w:rPr>
        <w:t xml:space="preserve"> (SDA, 2017), que en contraste </w:t>
      </w:r>
      <w:r w:rsidRPr="00D11C96" w:rsidR="000C7FA7">
        <w:rPr>
          <w:rFonts w:ascii="Garamond" w:hAnsi="Garamond"/>
          <w:sz w:val="22"/>
          <w:szCs w:val="22"/>
        </w:rPr>
        <w:t>a la contaminación del aire interior</w:t>
      </w:r>
      <w:r w:rsidRPr="00D11C96" w:rsidR="00DF1D74">
        <w:rPr>
          <w:rFonts w:ascii="Garamond" w:hAnsi="Garamond"/>
          <w:sz w:val="22"/>
          <w:szCs w:val="22"/>
        </w:rPr>
        <w:t xml:space="preserve"> el índice para el 2017 fue de </w:t>
      </w:r>
      <w:r w:rsidRPr="00D11C96" w:rsidR="000C7FA7">
        <w:rPr>
          <w:rFonts w:ascii="Garamond" w:hAnsi="Garamond"/>
          <w:sz w:val="22"/>
          <w:szCs w:val="22"/>
        </w:rPr>
        <w:t>2,3 casos de muerte por cada 10 mil habitantes en la región Central.</w:t>
      </w:r>
    </w:p>
    <w:p w:rsidRPr="00D11C96" w:rsidR="00DF1D74" w:rsidP="00A1785B" w:rsidRDefault="00DF1D74" w14:paraId="3524CD67" w14:textId="5091E521">
      <w:pPr>
        <w:jc w:val="both"/>
        <w:rPr>
          <w:rFonts w:ascii="Garamond" w:hAnsi="Garamond"/>
          <w:sz w:val="22"/>
          <w:szCs w:val="22"/>
        </w:rPr>
      </w:pPr>
      <w:r w:rsidRPr="00D11C96">
        <w:rPr>
          <w:rFonts w:ascii="Garamond" w:hAnsi="Garamond"/>
          <w:sz w:val="22"/>
          <w:szCs w:val="22"/>
        </w:rPr>
        <w:t xml:space="preserve">La implementación de lineamientos ambientales para la sabana provenientes por a la restauración ecológica, podrían </w:t>
      </w:r>
      <w:r w:rsidRPr="00D11C96" w:rsidR="00F072F5">
        <w:rPr>
          <w:rFonts w:ascii="Garamond" w:hAnsi="Garamond"/>
          <w:sz w:val="22"/>
          <w:szCs w:val="22"/>
        </w:rPr>
        <w:t>contribuir</w:t>
      </w:r>
      <w:r w:rsidRPr="00D11C96">
        <w:rPr>
          <w:rFonts w:ascii="Garamond" w:hAnsi="Garamond"/>
          <w:sz w:val="22"/>
          <w:szCs w:val="22"/>
        </w:rPr>
        <w:t xml:space="preserve"> a que las finanzas y la inversión pública con el tiempo, puedan dejar de asumir los costos que actualmente implica para el sistema de salud, la atención de enfermedades asociadas a la degradación ambiental, la pérdida de integridad ecológica y sus impactos negativos en la salud humana.</w:t>
      </w:r>
    </w:p>
    <w:p w:rsidRPr="00D11C96" w:rsidR="00DF1D74" w:rsidP="00A1785B" w:rsidRDefault="00DF1D74" w14:paraId="7DD90202" w14:textId="691FCE4A">
      <w:pPr>
        <w:jc w:val="both"/>
        <w:rPr>
          <w:rFonts w:ascii="Garamond" w:hAnsi="Garamond"/>
          <w:b/>
          <w:bCs/>
          <w:sz w:val="22"/>
          <w:szCs w:val="22"/>
        </w:rPr>
      </w:pPr>
      <w:r w:rsidRPr="00D11C96">
        <w:rPr>
          <w:rFonts w:ascii="Garamond" w:hAnsi="Garamond"/>
          <w:b/>
          <w:bCs/>
          <w:sz w:val="22"/>
          <w:szCs w:val="22"/>
        </w:rPr>
        <w:t>Cambio Climático</w:t>
      </w:r>
    </w:p>
    <w:p w:rsidRPr="00D11C96" w:rsidR="65A1ED2F" w:rsidP="139B1CFE" w:rsidRDefault="65A1ED2F" w14:paraId="335AC58C" w14:textId="56F8C9E1">
      <w:pPr>
        <w:jc w:val="both"/>
        <w:rPr>
          <w:rFonts w:ascii="Garamond" w:hAnsi="Garamond"/>
          <w:sz w:val="22"/>
          <w:szCs w:val="22"/>
        </w:rPr>
      </w:pPr>
      <w:r w:rsidRPr="00D11C96">
        <w:rPr>
          <w:rFonts w:ascii="Garamond" w:hAnsi="Garamond"/>
          <w:sz w:val="22"/>
          <w:szCs w:val="22"/>
        </w:rPr>
        <w:t>De acuerdo con el CONPES D.C 31 del 28 de septiembre del 2023, “</w:t>
      </w:r>
      <w:proofErr w:type="spellStart"/>
      <w:r w:rsidRPr="00D11C96">
        <w:rPr>
          <w:rFonts w:ascii="Garamond" w:hAnsi="Garamond"/>
          <w:sz w:val="22"/>
          <w:szCs w:val="22"/>
        </w:rPr>
        <w:t>Politica</w:t>
      </w:r>
      <w:proofErr w:type="spellEnd"/>
      <w:r w:rsidRPr="00D11C96">
        <w:rPr>
          <w:rFonts w:ascii="Garamond" w:hAnsi="Garamond"/>
          <w:sz w:val="22"/>
          <w:szCs w:val="22"/>
        </w:rPr>
        <w:t xml:space="preserve"> Pública de Acción </w:t>
      </w:r>
      <w:proofErr w:type="spellStart"/>
      <w:r w:rsidRPr="00D11C96">
        <w:rPr>
          <w:rFonts w:ascii="Garamond" w:hAnsi="Garamond"/>
          <w:sz w:val="22"/>
          <w:szCs w:val="22"/>
        </w:rPr>
        <w:t>Climatica</w:t>
      </w:r>
      <w:proofErr w:type="spellEnd"/>
      <w:r w:rsidRPr="00D11C96">
        <w:rPr>
          <w:rFonts w:ascii="Garamond" w:hAnsi="Garamond"/>
          <w:sz w:val="22"/>
          <w:szCs w:val="22"/>
        </w:rPr>
        <w:t xml:space="preserve"> 2023 – 2025”, uno de los principales desafíos de la humanidad es el cambio climático. Según el Grupo Intergubernamental de Expertos sobre el Cambio Climático (IPCC, 2013b), este se define como la variación del estado del clima que persiste durante largos periodos de tiempo, el cual puede deberse a causas naturales o antrópicas; estas últimas, han implicado un incremento en las concentraciones de Gases de Efecto Invernadero (GEI) en la atmósfera, y cambios en el uso del suelo. Las consecuencias se evidencian en el aumento de la temperatura de la superficie terrestre, la cual aumentó en 1,09 °C desde la era preindustrial. El panel de expertos advierte sobre los graves impactos que podrían desencadenarse si se alcanza un aumento de la temperatura media global de 1,5 °C, en dimensiones como la salud la prestación de servicios ecosistémicos y el crecimiento económico.</w:t>
      </w:r>
    </w:p>
    <w:p w:rsidRPr="00D11C96" w:rsidR="00A1785B" w:rsidP="00A1785B" w:rsidRDefault="00DA09C7" w14:paraId="47F9FB27" w14:textId="6BB6E413">
      <w:pPr>
        <w:jc w:val="both"/>
        <w:rPr>
          <w:rFonts w:ascii="Garamond" w:hAnsi="Garamond"/>
          <w:sz w:val="22"/>
          <w:szCs w:val="22"/>
        </w:rPr>
      </w:pPr>
      <w:r w:rsidRPr="00D11C96">
        <w:rPr>
          <w:rFonts w:ascii="Garamond" w:hAnsi="Garamond"/>
          <w:sz w:val="22"/>
          <w:szCs w:val="22"/>
        </w:rPr>
        <w:t xml:space="preserve">Según </w:t>
      </w:r>
      <w:r w:rsidRPr="00D11C96" w:rsidR="004C03CE">
        <w:rPr>
          <w:rFonts w:ascii="Garamond" w:hAnsi="Garamond"/>
          <w:sz w:val="22"/>
          <w:szCs w:val="22"/>
        </w:rPr>
        <w:t>Arteaga y Burbano (2018)</w:t>
      </w:r>
      <w:r w:rsidRPr="00D11C96">
        <w:rPr>
          <w:rFonts w:ascii="Garamond" w:hAnsi="Garamond"/>
          <w:sz w:val="22"/>
          <w:szCs w:val="22"/>
        </w:rPr>
        <w:t xml:space="preserve">, para el periodo 2010-2100, los sectores más afectados </w:t>
      </w:r>
      <w:r w:rsidRPr="00D11C96" w:rsidR="00986293">
        <w:rPr>
          <w:rFonts w:ascii="Garamond" w:hAnsi="Garamond"/>
          <w:sz w:val="22"/>
          <w:szCs w:val="22"/>
        </w:rPr>
        <w:t xml:space="preserve">por el cambio climático </w:t>
      </w:r>
      <w:r w:rsidRPr="00D11C96">
        <w:rPr>
          <w:rFonts w:ascii="Garamond" w:hAnsi="Garamond"/>
          <w:sz w:val="22"/>
          <w:szCs w:val="22"/>
        </w:rPr>
        <w:t>corresponderán a la ganadería, la agricultura y la pesca. Se estima que en promedio el sector ganadero tendrá pérdidas anuales en la producción de peso vivo de carne y leche de 1,6%, mientras que en el sector agrícola se espera una reducción del 7,4% en los rendimientos de los cultivos de maíz, arroz y papa. Finalmente, en el sector pesquero, se pronostica una disminución de la carga desembarcada del 5,3%. Sin embargo, en el sector de la silvicultura se observa un efecto beneficioso, con un crecimiento del 6,2% en el potencial forestal</w:t>
      </w:r>
      <w:r w:rsidRPr="00D11C96" w:rsidR="00986293">
        <w:rPr>
          <w:rFonts w:ascii="Garamond" w:hAnsi="Garamond"/>
          <w:sz w:val="22"/>
          <w:szCs w:val="22"/>
        </w:rPr>
        <w:t>, Los autores relacionan a continuación algunos de los efectos en el sector agropecuario derivados de eventos extremos del cambio climático:</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3417"/>
        <w:gridCol w:w="5933"/>
      </w:tblGrid>
      <w:tr w:rsidRPr="00D11C96" w:rsidR="00900230" w:rsidTr="00986293" w14:paraId="54C4FDCF" w14:textId="77777777">
        <w:trPr>
          <w:tblHeader/>
        </w:trPr>
        <w:tc>
          <w:tcPr>
            <w:tcW w:w="3420" w:type="dxa"/>
            <w:shd w:val="clear" w:color="auto" w:fill="FFFFFF"/>
            <w:vAlign w:val="center"/>
            <w:hideMark/>
          </w:tcPr>
          <w:p w:rsidRPr="00D11C96" w:rsidR="00DA09C7" w:rsidP="00986293" w:rsidRDefault="00DA09C7" w14:paraId="01C077D4" w14:textId="77777777">
            <w:pPr>
              <w:jc w:val="center"/>
              <w:rPr>
                <w:rFonts w:ascii="Garamond" w:hAnsi="Garamond"/>
                <w:b/>
                <w:bCs/>
                <w:sz w:val="22"/>
                <w:szCs w:val="22"/>
              </w:rPr>
            </w:pPr>
            <w:r w:rsidRPr="00D11C96">
              <w:rPr>
                <w:rFonts w:ascii="Garamond" w:hAnsi="Garamond"/>
                <w:b/>
                <w:bCs/>
                <w:sz w:val="22"/>
                <w:szCs w:val="22"/>
              </w:rPr>
              <w:t>Eventos extremos del cambio climático</w:t>
            </w:r>
          </w:p>
        </w:tc>
        <w:tc>
          <w:tcPr>
            <w:tcW w:w="5940" w:type="dxa"/>
            <w:shd w:val="clear" w:color="auto" w:fill="FFFFFF"/>
            <w:vAlign w:val="center"/>
            <w:hideMark/>
          </w:tcPr>
          <w:p w:rsidRPr="00D11C96" w:rsidR="00DA09C7" w:rsidP="00986293" w:rsidRDefault="00DA09C7" w14:paraId="4FC1B18B" w14:textId="77777777">
            <w:pPr>
              <w:jc w:val="center"/>
              <w:rPr>
                <w:rFonts w:ascii="Garamond" w:hAnsi="Garamond"/>
                <w:b/>
                <w:bCs/>
                <w:sz w:val="22"/>
                <w:szCs w:val="22"/>
              </w:rPr>
            </w:pPr>
            <w:r w:rsidRPr="00D11C96">
              <w:rPr>
                <w:rFonts w:ascii="Garamond" w:hAnsi="Garamond"/>
                <w:b/>
                <w:bCs/>
                <w:sz w:val="22"/>
                <w:szCs w:val="22"/>
              </w:rPr>
              <w:t>Efectos en el sector agropecuario</w:t>
            </w:r>
          </w:p>
        </w:tc>
      </w:tr>
      <w:tr w:rsidRPr="00D11C96" w:rsidR="00900230" w:rsidTr="00986293" w14:paraId="3D8AA768" w14:textId="77777777">
        <w:tc>
          <w:tcPr>
            <w:tcW w:w="3420" w:type="dxa"/>
            <w:shd w:val="clear" w:color="auto" w:fill="FFFFFF"/>
            <w:vAlign w:val="center"/>
            <w:hideMark/>
          </w:tcPr>
          <w:p w:rsidRPr="00D11C96" w:rsidR="00DA09C7" w:rsidP="00986293" w:rsidRDefault="00DA09C7" w14:paraId="2449D6A7" w14:textId="77777777">
            <w:pPr>
              <w:jc w:val="center"/>
              <w:rPr>
                <w:rFonts w:ascii="Garamond" w:hAnsi="Garamond"/>
                <w:sz w:val="22"/>
                <w:szCs w:val="22"/>
              </w:rPr>
            </w:pPr>
            <w:r w:rsidRPr="00D11C96">
              <w:rPr>
                <w:rFonts w:ascii="Garamond" w:hAnsi="Garamond"/>
                <w:sz w:val="22"/>
                <w:szCs w:val="22"/>
              </w:rPr>
              <w:t>Aumento de las temperaturas máximas y mínimas, olas de calor y frío.</w:t>
            </w:r>
          </w:p>
        </w:tc>
        <w:tc>
          <w:tcPr>
            <w:tcW w:w="5940" w:type="dxa"/>
            <w:shd w:val="clear" w:color="auto" w:fill="FFFFFF"/>
            <w:vAlign w:val="center"/>
            <w:hideMark/>
          </w:tcPr>
          <w:p w:rsidRPr="00D11C96" w:rsidR="00DA09C7" w:rsidP="00986293" w:rsidRDefault="00DA09C7" w14:paraId="3FBC8016" w14:textId="77777777">
            <w:pPr>
              <w:jc w:val="center"/>
              <w:rPr>
                <w:rFonts w:ascii="Garamond" w:hAnsi="Garamond"/>
                <w:sz w:val="22"/>
                <w:szCs w:val="22"/>
              </w:rPr>
            </w:pPr>
            <w:r w:rsidRPr="00D11C96">
              <w:rPr>
                <w:rFonts w:ascii="Garamond" w:hAnsi="Garamond"/>
                <w:sz w:val="22"/>
                <w:szCs w:val="22"/>
              </w:rPr>
              <w:t>Aumento del estrés por calor y frío en los animales y especies nativas. Aumento del riesgo de daño para los cultivos.</w:t>
            </w:r>
          </w:p>
        </w:tc>
      </w:tr>
      <w:tr w:rsidRPr="00D11C96" w:rsidR="00900230" w:rsidTr="00986293" w14:paraId="4B427505" w14:textId="77777777">
        <w:tc>
          <w:tcPr>
            <w:tcW w:w="3420" w:type="dxa"/>
            <w:shd w:val="clear" w:color="auto" w:fill="FFFFFF"/>
            <w:vAlign w:val="center"/>
            <w:hideMark/>
          </w:tcPr>
          <w:p w:rsidRPr="00D11C96" w:rsidR="00DA09C7" w:rsidP="00986293" w:rsidRDefault="00DA09C7" w14:paraId="0B450B57" w14:textId="77777777">
            <w:pPr>
              <w:jc w:val="center"/>
              <w:rPr>
                <w:rFonts w:ascii="Garamond" w:hAnsi="Garamond"/>
                <w:sz w:val="22"/>
                <w:szCs w:val="22"/>
              </w:rPr>
            </w:pPr>
            <w:r w:rsidRPr="00D11C96">
              <w:rPr>
                <w:rFonts w:ascii="Garamond" w:hAnsi="Garamond"/>
                <w:sz w:val="22"/>
                <w:szCs w:val="22"/>
              </w:rPr>
              <w:t>Eventos de precipitación más intensos</w:t>
            </w:r>
          </w:p>
        </w:tc>
        <w:tc>
          <w:tcPr>
            <w:tcW w:w="5940" w:type="dxa"/>
            <w:shd w:val="clear" w:color="auto" w:fill="FFFFFF"/>
            <w:vAlign w:val="center"/>
            <w:hideMark/>
          </w:tcPr>
          <w:p w:rsidRPr="00D11C96" w:rsidR="00DA09C7" w:rsidP="00986293" w:rsidRDefault="00DA09C7" w14:paraId="72D0B1D0" w14:textId="77777777">
            <w:pPr>
              <w:jc w:val="center"/>
              <w:rPr>
                <w:rFonts w:ascii="Garamond" w:hAnsi="Garamond"/>
                <w:sz w:val="22"/>
                <w:szCs w:val="22"/>
              </w:rPr>
            </w:pPr>
            <w:r w:rsidRPr="00D11C96">
              <w:rPr>
                <w:rFonts w:ascii="Garamond" w:hAnsi="Garamond"/>
                <w:sz w:val="22"/>
                <w:szCs w:val="22"/>
              </w:rPr>
              <w:t>Aumento en la erosión de los suelos. Daños a la infraestructura física Afectación a la conectividad vial por derrumbes.</w:t>
            </w:r>
          </w:p>
        </w:tc>
      </w:tr>
      <w:tr w:rsidRPr="00D11C96" w:rsidR="00900230" w:rsidTr="00986293" w14:paraId="3FBD772E" w14:textId="77777777">
        <w:tc>
          <w:tcPr>
            <w:tcW w:w="3420" w:type="dxa"/>
            <w:shd w:val="clear" w:color="auto" w:fill="FFFFFF"/>
            <w:vAlign w:val="center"/>
            <w:hideMark/>
          </w:tcPr>
          <w:p w:rsidRPr="00D11C96" w:rsidR="00DA09C7" w:rsidP="00986293" w:rsidRDefault="00DA09C7" w14:paraId="4F900F6A" w14:textId="77777777">
            <w:pPr>
              <w:jc w:val="center"/>
              <w:rPr>
                <w:rFonts w:ascii="Garamond" w:hAnsi="Garamond"/>
                <w:sz w:val="22"/>
                <w:szCs w:val="22"/>
              </w:rPr>
            </w:pPr>
            <w:r w:rsidRPr="00D11C96">
              <w:rPr>
                <w:rFonts w:ascii="Garamond" w:hAnsi="Garamond"/>
                <w:sz w:val="22"/>
                <w:szCs w:val="22"/>
              </w:rPr>
              <w:t>Aumento de las sequías e inundaciones asociadas con los fenómenos del niño y de la niña.</w:t>
            </w:r>
          </w:p>
        </w:tc>
        <w:tc>
          <w:tcPr>
            <w:tcW w:w="5940" w:type="dxa"/>
            <w:shd w:val="clear" w:color="auto" w:fill="FFFFFF"/>
            <w:vAlign w:val="center"/>
            <w:hideMark/>
          </w:tcPr>
          <w:p w:rsidRPr="00D11C96" w:rsidR="00DA09C7" w:rsidP="00986293" w:rsidRDefault="00DA09C7" w14:paraId="64AC441A" w14:textId="77777777">
            <w:pPr>
              <w:jc w:val="center"/>
              <w:rPr>
                <w:rFonts w:ascii="Garamond" w:hAnsi="Garamond"/>
                <w:sz w:val="22"/>
                <w:szCs w:val="22"/>
              </w:rPr>
            </w:pPr>
            <w:r w:rsidRPr="00D11C96">
              <w:rPr>
                <w:rFonts w:ascii="Garamond" w:hAnsi="Garamond"/>
                <w:sz w:val="22"/>
                <w:szCs w:val="22"/>
              </w:rPr>
              <w:t>Disminución de la productividad de los suelos agrícolas. Desplazamiento de las zonas agroecológicas-productivas Pérdida de la biodiversidad Dificultades para la alimentación del ganado Aumento de los precios al consumidor Disminución en la cantidad y calidad de las reservas acuíferas. Desabastecimiento de agua para riego. Aumento en el riesgo de incendios e inundaciones. Aumento de plagas y de enfermedades en los cultivos Incremento de los procesos de desertificación. Riesgos en la seguridad alimentaria. Deterioro de las condiciones de vida de los campesinos. Migración hacia las ciudades</w:t>
            </w:r>
          </w:p>
        </w:tc>
      </w:tr>
      <w:tr w:rsidRPr="00D11C96" w:rsidR="00900230" w:rsidTr="00986293" w14:paraId="339CCE92" w14:textId="77777777">
        <w:tc>
          <w:tcPr>
            <w:tcW w:w="3420" w:type="dxa"/>
            <w:shd w:val="clear" w:color="auto" w:fill="FFFFFF"/>
            <w:vAlign w:val="center"/>
            <w:hideMark/>
          </w:tcPr>
          <w:p w:rsidRPr="00D11C96" w:rsidR="00DA09C7" w:rsidP="00986293" w:rsidRDefault="00DA09C7" w14:paraId="62920277" w14:textId="77777777">
            <w:pPr>
              <w:jc w:val="center"/>
              <w:rPr>
                <w:rFonts w:ascii="Garamond" w:hAnsi="Garamond"/>
                <w:sz w:val="22"/>
                <w:szCs w:val="22"/>
              </w:rPr>
            </w:pPr>
            <w:r w:rsidRPr="00D11C96">
              <w:rPr>
                <w:rFonts w:ascii="Garamond" w:hAnsi="Garamond"/>
                <w:sz w:val="22"/>
                <w:szCs w:val="22"/>
              </w:rPr>
              <w:t>Aumento del nivel del mar</w:t>
            </w:r>
          </w:p>
        </w:tc>
        <w:tc>
          <w:tcPr>
            <w:tcW w:w="5940" w:type="dxa"/>
            <w:shd w:val="clear" w:color="auto" w:fill="FFFFFF"/>
            <w:vAlign w:val="center"/>
            <w:hideMark/>
          </w:tcPr>
          <w:p w:rsidRPr="00D11C96" w:rsidR="00DA09C7" w:rsidP="00986293" w:rsidRDefault="00DA09C7" w14:paraId="16757882" w14:textId="77777777">
            <w:pPr>
              <w:jc w:val="center"/>
              <w:rPr>
                <w:rFonts w:ascii="Garamond" w:hAnsi="Garamond"/>
                <w:sz w:val="22"/>
                <w:szCs w:val="22"/>
              </w:rPr>
            </w:pPr>
            <w:r w:rsidRPr="00D11C96">
              <w:rPr>
                <w:rFonts w:ascii="Garamond" w:hAnsi="Garamond"/>
                <w:sz w:val="22"/>
                <w:szCs w:val="22"/>
              </w:rPr>
              <w:t>Inundaciones Erosión de los suelos y desaparición de la tierra arable Salinización de los suelos Disminución de la calidad del agua destinada a la agricultura Alteración de los patrones de distribución y migración de peces y otras especies marinas.</w:t>
            </w:r>
          </w:p>
        </w:tc>
      </w:tr>
    </w:tbl>
    <w:p w:rsidRPr="00D11C96" w:rsidR="00DA09C7" w:rsidP="00986293" w:rsidRDefault="00986293" w14:paraId="6310C814" w14:textId="075C414A">
      <w:pPr>
        <w:jc w:val="center"/>
        <w:rPr>
          <w:rFonts w:ascii="Garamond" w:hAnsi="Garamond"/>
          <w:sz w:val="22"/>
          <w:szCs w:val="22"/>
        </w:rPr>
      </w:pPr>
      <w:r w:rsidRPr="00D11C96">
        <w:rPr>
          <w:rFonts w:ascii="Garamond" w:hAnsi="Garamond"/>
          <w:sz w:val="22"/>
          <w:szCs w:val="22"/>
        </w:rPr>
        <w:t>Efectos en el sector agropecuario por eventos extremos asociados al cambio climático (Arteaga &amp; Burbano, 2018)</w:t>
      </w:r>
    </w:p>
    <w:p w:rsidRPr="00D11C96" w:rsidR="00986293" w:rsidP="00D91919" w:rsidRDefault="00986293" w14:paraId="494DDFCD" w14:textId="7F059F72">
      <w:pPr>
        <w:jc w:val="both"/>
        <w:rPr>
          <w:rFonts w:ascii="Garamond" w:hAnsi="Garamond"/>
          <w:sz w:val="22"/>
          <w:szCs w:val="22"/>
        </w:rPr>
      </w:pPr>
      <w:r w:rsidRPr="00D11C96">
        <w:rPr>
          <w:rFonts w:ascii="Garamond" w:hAnsi="Garamond"/>
          <w:sz w:val="22"/>
          <w:szCs w:val="22"/>
        </w:rPr>
        <w:t>De acuerdo con la tabla anterior, el aumento de las sequias e inundaciones son uno de los eventos que mayor efecto tiene sobre el sector agropecuario, de acuerdo con el Banco Interamericano de Desarrollo, la CEPAL, el DNP y el IDEAM (2014), l</w:t>
      </w:r>
      <w:r w:rsidRPr="00D11C96" w:rsidR="00DA09C7">
        <w:rPr>
          <w:rFonts w:ascii="Garamond" w:hAnsi="Garamond"/>
          <w:sz w:val="22"/>
          <w:szCs w:val="22"/>
        </w:rPr>
        <w:t>as inundaciones generadas por el fenómeno de la niña 2010-2011, afectaron el 3% de la superficie ganadera, equivalente a 1</w:t>
      </w:r>
      <w:r w:rsidRPr="00D11C96">
        <w:rPr>
          <w:rFonts w:ascii="Garamond" w:hAnsi="Garamond"/>
          <w:sz w:val="22"/>
          <w:szCs w:val="22"/>
        </w:rPr>
        <w:t>.</w:t>
      </w:r>
      <w:r w:rsidRPr="00D11C96" w:rsidR="00DA09C7">
        <w:rPr>
          <w:rFonts w:ascii="Garamond" w:hAnsi="Garamond"/>
          <w:sz w:val="22"/>
          <w:szCs w:val="22"/>
        </w:rPr>
        <w:t>165</w:t>
      </w:r>
      <w:r w:rsidRPr="00D11C96">
        <w:rPr>
          <w:rFonts w:ascii="Garamond" w:hAnsi="Garamond"/>
          <w:sz w:val="22"/>
          <w:szCs w:val="22"/>
        </w:rPr>
        <w:t>.</w:t>
      </w:r>
      <w:r w:rsidRPr="00D11C96" w:rsidR="00DA09C7">
        <w:rPr>
          <w:rFonts w:ascii="Garamond" w:hAnsi="Garamond"/>
          <w:sz w:val="22"/>
          <w:szCs w:val="22"/>
        </w:rPr>
        <w:t>413</w:t>
      </w:r>
      <w:r w:rsidRPr="00D11C96" w:rsidR="00D91919">
        <w:rPr>
          <w:rFonts w:ascii="Garamond" w:hAnsi="Garamond"/>
          <w:sz w:val="22"/>
          <w:szCs w:val="22"/>
        </w:rPr>
        <w:t xml:space="preserve"> </w:t>
      </w:r>
      <w:r w:rsidRPr="00D11C96" w:rsidR="00DA09C7">
        <w:rPr>
          <w:rFonts w:ascii="Garamond" w:hAnsi="Garamond"/>
          <w:sz w:val="22"/>
          <w:szCs w:val="22"/>
        </w:rPr>
        <w:t>ha.</w:t>
      </w:r>
    </w:p>
    <w:p w:rsidRPr="00D11C96" w:rsidR="00DA09C7" w:rsidP="00D91919" w:rsidRDefault="00D91919" w14:paraId="1C36053C" w14:textId="2B2E827E">
      <w:pPr>
        <w:jc w:val="both"/>
        <w:rPr>
          <w:rFonts w:ascii="Garamond" w:hAnsi="Garamond"/>
          <w:sz w:val="22"/>
          <w:szCs w:val="22"/>
        </w:rPr>
      </w:pPr>
      <w:r w:rsidRPr="00D11C96">
        <w:rPr>
          <w:rFonts w:ascii="Garamond" w:hAnsi="Garamond"/>
          <w:sz w:val="22"/>
          <w:szCs w:val="22"/>
        </w:rPr>
        <w:t xml:space="preserve">En ese sentido y de acuerdo con </w:t>
      </w:r>
      <w:r w:rsidRPr="00D11C96" w:rsidR="00986293">
        <w:rPr>
          <w:rFonts w:ascii="Garamond" w:hAnsi="Garamond"/>
          <w:sz w:val="22"/>
          <w:szCs w:val="22"/>
        </w:rPr>
        <w:t xml:space="preserve">el informe relacionado, </w:t>
      </w:r>
      <w:r w:rsidRPr="00D11C96">
        <w:rPr>
          <w:rFonts w:ascii="Garamond" w:hAnsi="Garamond"/>
          <w:sz w:val="22"/>
          <w:szCs w:val="22"/>
        </w:rPr>
        <w:t xml:space="preserve">los autores </w:t>
      </w:r>
      <w:r w:rsidRPr="00D11C96" w:rsidR="00986293">
        <w:rPr>
          <w:rFonts w:ascii="Garamond" w:hAnsi="Garamond"/>
          <w:sz w:val="22"/>
          <w:szCs w:val="22"/>
        </w:rPr>
        <w:t>estima</w:t>
      </w:r>
      <w:r w:rsidRPr="00D11C96">
        <w:rPr>
          <w:rFonts w:ascii="Garamond" w:hAnsi="Garamond"/>
          <w:sz w:val="22"/>
          <w:szCs w:val="22"/>
        </w:rPr>
        <w:t>ron la</w:t>
      </w:r>
      <w:r w:rsidRPr="00D11C96" w:rsidR="00DA09C7">
        <w:rPr>
          <w:rFonts w:ascii="Garamond" w:hAnsi="Garamond"/>
          <w:sz w:val="22"/>
          <w:szCs w:val="22"/>
        </w:rPr>
        <w:t xml:space="preserve"> mu</w:t>
      </w:r>
      <w:r w:rsidRPr="00D11C96">
        <w:rPr>
          <w:rFonts w:ascii="Garamond" w:hAnsi="Garamond"/>
          <w:sz w:val="22"/>
          <w:szCs w:val="22"/>
        </w:rPr>
        <w:t>erte de</w:t>
      </w:r>
      <w:r w:rsidRPr="00D11C96" w:rsidR="00DA09C7">
        <w:rPr>
          <w:rFonts w:ascii="Garamond" w:hAnsi="Garamond"/>
          <w:sz w:val="22"/>
          <w:szCs w:val="22"/>
        </w:rPr>
        <w:t xml:space="preserve"> 160</w:t>
      </w:r>
      <w:r w:rsidRPr="00D11C96" w:rsidR="00986293">
        <w:rPr>
          <w:rFonts w:ascii="Garamond" w:hAnsi="Garamond"/>
          <w:sz w:val="22"/>
          <w:szCs w:val="22"/>
        </w:rPr>
        <w:t>.</w:t>
      </w:r>
      <w:r w:rsidRPr="00D11C96" w:rsidR="00DA09C7">
        <w:rPr>
          <w:rFonts w:ascii="Garamond" w:hAnsi="Garamond"/>
          <w:sz w:val="22"/>
          <w:szCs w:val="22"/>
        </w:rPr>
        <w:t xml:space="preserve">965 animales orientados a la producción de carne o leche, con pérdidas </w:t>
      </w:r>
      <w:r w:rsidRPr="00D11C96">
        <w:rPr>
          <w:rFonts w:ascii="Garamond" w:hAnsi="Garamond"/>
          <w:sz w:val="22"/>
          <w:szCs w:val="22"/>
        </w:rPr>
        <w:t xml:space="preserve">económicas </w:t>
      </w:r>
      <w:r w:rsidRPr="00D11C96" w:rsidR="00DA09C7">
        <w:rPr>
          <w:rFonts w:ascii="Garamond" w:hAnsi="Garamond"/>
          <w:sz w:val="22"/>
          <w:szCs w:val="22"/>
        </w:rPr>
        <w:t>de $108.652 millones. Los daños totales valorados en</w:t>
      </w:r>
      <w:r w:rsidRPr="00D11C96" w:rsidR="00986293">
        <w:rPr>
          <w:rFonts w:ascii="Garamond" w:hAnsi="Garamond"/>
          <w:sz w:val="22"/>
          <w:szCs w:val="22"/>
        </w:rPr>
        <w:t xml:space="preserve"> actividades</w:t>
      </w:r>
      <w:r w:rsidRPr="00D11C96" w:rsidR="00DA09C7">
        <w:rPr>
          <w:rFonts w:ascii="Garamond" w:hAnsi="Garamond"/>
          <w:sz w:val="22"/>
          <w:szCs w:val="22"/>
        </w:rPr>
        <w:t xml:space="preserve"> pecuaria</w:t>
      </w:r>
      <w:r w:rsidRPr="00D11C96" w:rsidR="00986293">
        <w:rPr>
          <w:rFonts w:ascii="Garamond" w:hAnsi="Garamond"/>
          <w:sz w:val="22"/>
          <w:szCs w:val="22"/>
        </w:rPr>
        <w:t>s</w:t>
      </w:r>
      <w:r w:rsidRPr="00D11C96" w:rsidR="00DA09C7">
        <w:rPr>
          <w:rFonts w:ascii="Garamond" w:hAnsi="Garamond"/>
          <w:sz w:val="22"/>
          <w:szCs w:val="22"/>
        </w:rPr>
        <w:t>, avicultura, acuicultura e infraestructura dentro de las fincas representaron un total de $759.893 millones</w:t>
      </w:r>
      <w:r w:rsidRPr="00D11C96" w:rsidR="00986293">
        <w:rPr>
          <w:rFonts w:ascii="Garamond" w:hAnsi="Garamond"/>
          <w:sz w:val="22"/>
          <w:szCs w:val="22"/>
        </w:rPr>
        <w:t xml:space="preserve"> para el año 2014</w:t>
      </w:r>
      <w:r w:rsidRPr="00D11C96" w:rsidR="00DA09C7">
        <w:rPr>
          <w:rFonts w:ascii="Garamond" w:hAnsi="Garamond"/>
          <w:sz w:val="22"/>
          <w:szCs w:val="22"/>
        </w:rPr>
        <w:t>. Finalmente, la anegación de 1.000.000 ha de cultivos y posterior marchitamiento y muerte de plantas, dejó un total de $693.448 millones en pérdidas</w:t>
      </w:r>
      <w:r w:rsidRPr="00D11C96" w:rsidR="00986293">
        <w:rPr>
          <w:rFonts w:ascii="Garamond" w:hAnsi="Garamond"/>
          <w:sz w:val="22"/>
          <w:szCs w:val="22"/>
        </w:rPr>
        <w:t xml:space="preserve"> en el mismo año.</w:t>
      </w:r>
    </w:p>
    <w:p w:rsidR="00D91919" w:rsidP="00D91919" w:rsidRDefault="00D91919" w14:paraId="5A620333" w14:textId="6D06A52B">
      <w:pPr>
        <w:jc w:val="both"/>
        <w:rPr>
          <w:rFonts w:ascii="Garamond" w:hAnsi="Garamond"/>
          <w:sz w:val="22"/>
          <w:szCs w:val="22"/>
        </w:rPr>
      </w:pPr>
      <w:r w:rsidRPr="00D11C96">
        <w:rPr>
          <w:rFonts w:ascii="Garamond" w:hAnsi="Garamond"/>
          <w:sz w:val="22"/>
          <w:szCs w:val="22"/>
        </w:rPr>
        <w:t xml:space="preserve">Según (Arteaga &amp; Burbano, 2018) con datos del IDEAM et al. (2015), otra de las principales consecuencias en el sector agrícola es el aumento de plagas y enfermedades en los cultivos de la región montañosa. El sector vial podría verse perjudicado por el incremento de derrumbes, los cuales también afectarán a las comunidades asentadas en zonas con pendientes elevadas. El sector ganadero será impactado por el aumento de la temperatura; que ocasiona estrés térmico y menor disponibilidad de pastos. </w:t>
      </w:r>
    </w:p>
    <w:p w:rsidR="00184C52" w:rsidP="00D91919" w:rsidRDefault="00184C52" w14:paraId="0FA98D95" w14:textId="4B2D168B">
      <w:pPr>
        <w:jc w:val="both"/>
        <w:rPr>
          <w:rFonts w:ascii="Garamond" w:hAnsi="Garamond"/>
          <w:sz w:val="22"/>
          <w:szCs w:val="22"/>
        </w:rPr>
      </w:pPr>
      <w:r>
        <w:rPr>
          <w:rFonts w:ascii="Garamond" w:hAnsi="Garamond"/>
          <w:sz w:val="22"/>
          <w:szCs w:val="22"/>
        </w:rPr>
        <w:t xml:space="preserve">En cuanto a las urbes, </w:t>
      </w:r>
      <w:r w:rsidR="00BC05C3">
        <w:rPr>
          <w:rFonts w:ascii="Garamond" w:hAnsi="Garamond"/>
          <w:sz w:val="22"/>
          <w:szCs w:val="22"/>
        </w:rPr>
        <w:t>e</w:t>
      </w:r>
      <w:r w:rsidRPr="00A32B1F" w:rsidR="00A32B1F">
        <w:rPr>
          <w:rFonts w:ascii="Garamond" w:hAnsi="Garamond"/>
          <w:sz w:val="22"/>
          <w:szCs w:val="22"/>
        </w:rPr>
        <w:t>l</w:t>
      </w:r>
      <w:r w:rsidR="000019DD">
        <w:rPr>
          <w:rFonts w:ascii="Garamond" w:hAnsi="Garamond"/>
          <w:sz w:val="22"/>
          <w:szCs w:val="22"/>
        </w:rPr>
        <w:t xml:space="preserve"> CONPES 31</w:t>
      </w:r>
      <w:r w:rsidR="00BC05C3">
        <w:rPr>
          <w:rFonts w:ascii="Garamond" w:hAnsi="Garamond"/>
          <w:sz w:val="22"/>
          <w:szCs w:val="22"/>
        </w:rPr>
        <w:t xml:space="preserve"> (Cita a IPCC, 2014)</w:t>
      </w:r>
      <w:r w:rsidR="000019DD">
        <w:rPr>
          <w:rFonts w:ascii="Garamond" w:hAnsi="Garamond"/>
          <w:sz w:val="22"/>
          <w:szCs w:val="22"/>
        </w:rPr>
        <w:t xml:space="preserve"> </w:t>
      </w:r>
      <w:r w:rsidRPr="00A32B1F" w:rsidR="00A32B1F">
        <w:rPr>
          <w:rFonts w:ascii="Garamond" w:hAnsi="Garamond"/>
          <w:sz w:val="22"/>
          <w:szCs w:val="22"/>
        </w:rPr>
        <w:t xml:space="preserve">advierte que los riesgos climáticos se concentran especialmente en las ciudades debido a su elevada densidad poblacional y económica, lo que las convierte en escenarios estratégicos para impulsar acciones climáticas ambiciosas que contribuyan al cumplimiento del </w:t>
      </w:r>
      <w:r w:rsidRPr="00A32B1F" w:rsidR="00A32B1F">
        <w:rPr>
          <w:rFonts w:ascii="Garamond" w:hAnsi="Garamond"/>
          <w:sz w:val="22"/>
          <w:szCs w:val="22"/>
        </w:rPr>
        <w:t>Acuerdo de París y a una transición justa hacia sociedades resilientes y competitivas (</w:t>
      </w:r>
      <w:r w:rsidR="00BC05C3">
        <w:rPr>
          <w:rFonts w:ascii="Garamond" w:hAnsi="Garamond"/>
          <w:sz w:val="22"/>
          <w:szCs w:val="22"/>
        </w:rPr>
        <w:t xml:space="preserve">CONPES 31, 2023;  </w:t>
      </w:r>
      <w:r w:rsidRPr="00A32B1F" w:rsidR="00A32B1F">
        <w:rPr>
          <w:rFonts w:ascii="Garamond" w:hAnsi="Garamond"/>
          <w:sz w:val="22"/>
          <w:szCs w:val="22"/>
        </w:rPr>
        <w:t>IPCC, 2014). En este sentido, la Tercera Comunicación Nacional de Cambio Climático establece que Bogotá D. C. es la segunda ciudad más vulnerable del país, al presentar un riesgo alto caracterizado por una amenaza y sensibilidad muy elevadas y una limitada capacidad adaptativa, con particular gravedad en las dimensiones de seguridad alimentaria y gestión del recurso hídrico.</w:t>
      </w:r>
    </w:p>
    <w:p w:rsidR="00184C52" w:rsidP="00D91919" w:rsidRDefault="00030BA0" w14:paraId="591CE994" w14:textId="02C18C0E">
      <w:pPr>
        <w:jc w:val="both"/>
        <w:rPr>
          <w:rFonts w:ascii="Garamond" w:hAnsi="Garamond"/>
          <w:sz w:val="22"/>
          <w:szCs w:val="22"/>
        </w:rPr>
      </w:pPr>
      <w:r>
        <w:rPr>
          <w:rFonts w:ascii="Garamond" w:hAnsi="Garamond"/>
          <w:sz w:val="22"/>
          <w:szCs w:val="22"/>
        </w:rPr>
        <w:t xml:space="preserve">La política pública de acción </w:t>
      </w:r>
      <w:r w:rsidR="00CF373C">
        <w:rPr>
          <w:rFonts w:ascii="Garamond" w:hAnsi="Garamond"/>
          <w:sz w:val="22"/>
          <w:szCs w:val="22"/>
        </w:rPr>
        <w:t>climática</w:t>
      </w:r>
      <w:r>
        <w:rPr>
          <w:rFonts w:ascii="Garamond" w:hAnsi="Garamond"/>
          <w:sz w:val="22"/>
          <w:szCs w:val="22"/>
        </w:rPr>
        <w:t xml:space="preserve"> 2023-2025, advierte con datos de</w:t>
      </w:r>
      <w:r w:rsidRPr="00E46D62" w:rsidR="00E46D62">
        <w:rPr>
          <w:rFonts w:ascii="Garamond" w:hAnsi="Garamond"/>
          <w:sz w:val="22"/>
          <w:szCs w:val="22"/>
        </w:rPr>
        <w:t>l IDEAM</w:t>
      </w:r>
      <w:r>
        <w:rPr>
          <w:rFonts w:ascii="Garamond" w:hAnsi="Garamond"/>
          <w:sz w:val="22"/>
          <w:szCs w:val="22"/>
        </w:rPr>
        <w:t xml:space="preserve">, que para el 2040 se </w:t>
      </w:r>
      <w:r w:rsidRPr="00E46D62" w:rsidR="00E46D62">
        <w:rPr>
          <w:rFonts w:ascii="Garamond" w:hAnsi="Garamond"/>
          <w:sz w:val="22"/>
          <w:szCs w:val="22"/>
        </w:rPr>
        <w:t xml:space="preserve">proyecta </w:t>
      </w:r>
      <w:r>
        <w:rPr>
          <w:rFonts w:ascii="Garamond" w:hAnsi="Garamond"/>
          <w:sz w:val="22"/>
          <w:szCs w:val="22"/>
        </w:rPr>
        <w:t>que</w:t>
      </w:r>
      <w:r w:rsidRPr="00E46D62" w:rsidR="00E46D62">
        <w:rPr>
          <w:rFonts w:ascii="Garamond" w:hAnsi="Garamond"/>
          <w:sz w:val="22"/>
          <w:szCs w:val="22"/>
        </w:rPr>
        <w:t xml:space="preserve"> la temperatura promedio de Bogotá podría incrementarse en aproximadamente 0,25 °C en las áreas rurales y en 0,65 °C en la zona urbana. En relación con la precipitación, se estima un aumento cercano al 35 % en el occidente de la ciudad, mientras que en los Cerros Orientales y en el sector sur de Sumapaz podrían presentarse disminuciones de alrededor del 15 %</w:t>
      </w:r>
      <w:r>
        <w:rPr>
          <w:rFonts w:ascii="Garamond" w:hAnsi="Garamond"/>
          <w:sz w:val="22"/>
          <w:szCs w:val="22"/>
        </w:rPr>
        <w:t>.</w:t>
      </w:r>
      <w:r w:rsidRPr="00E46D62" w:rsidR="00E46D62">
        <w:rPr>
          <w:rFonts w:ascii="Garamond" w:hAnsi="Garamond"/>
          <w:sz w:val="22"/>
          <w:szCs w:val="22"/>
        </w:rPr>
        <w:t xml:space="preserve"> Estos cambios intensificarán tanto la frecuencia como la severidad de amenazas climáticas en Bogotá D. C., tales como inundaciones, movimientos en masa, incendios forestales, avenidas torrenciales y la formación de islas de calor urbanas, generando efectos adversos en los ámbitos social, ambiental y económico.</w:t>
      </w:r>
    </w:p>
    <w:p w:rsidR="00963284" w:rsidP="00963284" w:rsidRDefault="0062295A" w14:paraId="76DFAE4D" w14:textId="77777777">
      <w:pPr>
        <w:keepNext/>
        <w:jc w:val="center"/>
      </w:pPr>
      <w:r w:rsidRPr="0062295A">
        <w:rPr>
          <w:rFonts w:ascii="Garamond" w:hAnsi="Garamond"/>
          <w:noProof/>
          <w:sz w:val="22"/>
          <w:szCs w:val="22"/>
        </w:rPr>
        <w:drawing>
          <wp:inline distT="0" distB="0" distL="0" distR="0" wp14:anchorId="35876715" wp14:editId="1037CECB">
            <wp:extent cx="3409950" cy="4802584"/>
            <wp:effectExtent l="0" t="0" r="0" b="0"/>
            <wp:docPr id="900883216"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83216" name="Picture 1" descr="A map of different colored areas&#10;&#10;AI-generated content may be incorrect."/>
                    <pic:cNvPicPr/>
                  </pic:nvPicPr>
                  <pic:blipFill>
                    <a:blip r:embed="rId19"/>
                    <a:stretch>
                      <a:fillRect/>
                    </a:stretch>
                  </pic:blipFill>
                  <pic:spPr>
                    <a:xfrm>
                      <a:off x="0" y="0"/>
                      <a:ext cx="3410772" cy="4803741"/>
                    </a:xfrm>
                    <a:prstGeom prst="rect">
                      <a:avLst/>
                    </a:prstGeom>
                  </pic:spPr>
                </pic:pic>
              </a:graphicData>
            </a:graphic>
          </wp:inline>
        </w:drawing>
      </w:r>
    </w:p>
    <w:p w:rsidRPr="00D11C96" w:rsidR="00184C52" w:rsidP="00963284" w:rsidRDefault="00963284" w14:paraId="021A1D9E" w14:textId="542B35BE">
      <w:pPr>
        <w:pStyle w:val="Caption"/>
        <w:jc w:val="center"/>
        <w:rPr>
          <w:rFonts w:ascii="Garamond" w:hAnsi="Garamond"/>
          <w:sz w:val="22"/>
          <w:szCs w:val="22"/>
        </w:rPr>
      </w:pPr>
      <w:r>
        <w:t xml:space="preserve">Ilustración </w:t>
      </w:r>
      <w:r>
        <w:fldChar w:fldCharType="begin"/>
      </w:r>
      <w:r>
        <w:instrText xml:space="preserve"> SEQ Ilustración \* ARABIC </w:instrText>
      </w:r>
      <w:r>
        <w:fldChar w:fldCharType="separate"/>
      </w:r>
      <w:r w:rsidR="00FF34DC">
        <w:rPr>
          <w:noProof/>
        </w:rPr>
        <w:t>6</w:t>
      </w:r>
      <w:r>
        <w:fldChar w:fldCharType="end"/>
      </w:r>
      <w:r>
        <w:t>. Índice de Vulnerabilidad Total para la Adaptación ante Escenarios de Cambio. Fuente: (CONPES 31, 2023 y SDA, 2020)</w:t>
      </w:r>
    </w:p>
    <w:p w:rsidR="00B27365" w:rsidP="00D91919" w:rsidRDefault="00AE06CD" w14:paraId="0ABAA290" w14:textId="1EBF1DA3">
      <w:pPr>
        <w:jc w:val="both"/>
        <w:rPr>
          <w:rFonts w:ascii="Garamond" w:hAnsi="Garamond"/>
          <w:sz w:val="22"/>
          <w:szCs w:val="22"/>
        </w:rPr>
      </w:pPr>
      <w:r w:rsidRPr="00AE06CD">
        <w:rPr>
          <w:rFonts w:ascii="Garamond" w:hAnsi="Garamond"/>
          <w:sz w:val="22"/>
          <w:szCs w:val="22"/>
        </w:rPr>
        <w:t xml:space="preserve">Los datos reportados por la Secretaría de Ambiente (SDA, 2021) evidencian que el transporte es el principal emisor de gases de efecto invernadero (GEI) en Bogotá D. C., concentrando el 48 % del total de emisiones, equivalente a más de 5,4 millones de toneladas de </w:t>
      </w:r>
      <w:proofErr w:type="spellStart"/>
      <w:r w:rsidRPr="00AE06CD">
        <w:rPr>
          <w:rFonts w:ascii="Garamond" w:hAnsi="Garamond"/>
          <w:sz w:val="22"/>
          <w:szCs w:val="22"/>
        </w:rPr>
        <w:t>CO</w:t>
      </w:r>
      <w:r w:rsidRPr="00AE06CD">
        <w:rPr>
          <w:rFonts w:ascii="Cambria Math" w:hAnsi="Cambria Math" w:cs="Cambria Math"/>
          <w:sz w:val="22"/>
          <w:szCs w:val="22"/>
        </w:rPr>
        <w:t>₂</w:t>
      </w:r>
      <w:r w:rsidRPr="00AE06CD">
        <w:rPr>
          <w:rFonts w:ascii="Garamond" w:hAnsi="Garamond"/>
          <w:sz w:val="22"/>
          <w:szCs w:val="22"/>
        </w:rPr>
        <w:t>eq</w:t>
      </w:r>
      <w:proofErr w:type="spellEnd"/>
      <w:r w:rsidRPr="00AE06CD">
        <w:rPr>
          <w:rFonts w:ascii="Garamond" w:hAnsi="Garamond"/>
          <w:sz w:val="22"/>
          <w:szCs w:val="22"/>
        </w:rPr>
        <w:t>. Le sigue el sector de energ</w:t>
      </w:r>
      <w:r w:rsidRPr="00AE06CD">
        <w:rPr>
          <w:rFonts w:ascii="Garamond" w:hAnsi="Garamond" w:cs="Garamond"/>
          <w:sz w:val="22"/>
          <w:szCs w:val="22"/>
        </w:rPr>
        <w:t>í</w:t>
      </w:r>
      <w:r w:rsidRPr="00AE06CD">
        <w:rPr>
          <w:rFonts w:ascii="Garamond" w:hAnsi="Garamond"/>
          <w:sz w:val="22"/>
          <w:szCs w:val="22"/>
        </w:rPr>
        <w:t>a estacionaria, responsable del 34 % de las emisiones, mientras que el componente de residuos aporta el 18 %. Esta distribuci</w:t>
      </w:r>
      <w:r w:rsidRPr="00AE06CD">
        <w:rPr>
          <w:rFonts w:ascii="Garamond" w:hAnsi="Garamond" w:cs="Garamond"/>
          <w:sz w:val="22"/>
          <w:szCs w:val="22"/>
        </w:rPr>
        <w:t>ó</w:t>
      </w:r>
      <w:r w:rsidRPr="00AE06CD">
        <w:rPr>
          <w:rFonts w:ascii="Garamond" w:hAnsi="Garamond"/>
          <w:sz w:val="22"/>
          <w:szCs w:val="22"/>
        </w:rPr>
        <w:t>n sugiere que las din</w:t>
      </w:r>
      <w:r w:rsidRPr="00AE06CD">
        <w:rPr>
          <w:rFonts w:ascii="Garamond" w:hAnsi="Garamond" w:cs="Garamond"/>
          <w:sz w:val="22"/>
          <w:szCs w:val="22"/>
        </w:rPr>
        <w:t>á</w:t>
      </w:r>
      <w:r w:rsidRPr="00AE06CD">
        <w:rPr>
          <w:rFonts w:ascii="Garamond" w:hAnsi="Garamond"/>
          <w:sz w:val="22"/>
          <w:szCs w:val="22"/>
        </w:rPr>
        <w:t>micas urbanas asociadas a la movilidad y al consumo energ</w:t>
      </w:r>
      <w:r w:rsidRPr="00AE06CD">
        <w:rPr>
          <w:rFonts w:ascii="Garamond" w:hAnsi="Garamond" w:cs="Garamond"/>
          <w:sz w:val="22"/>
          <w:szCs w:val="22"/>
        </w:rPr>
        <w:t>é</w:t>
      </w:r>
      <w:r w:rsidRPr="00AE06CD">
        <w:rPr>
          <w:rFonts w:ascii="Garamond" w:hAnsi="Garamond"/>
          <w:sz w:val="22"/>
          <w:szCs w:val="22"/>
        </w:rPr>
        <w:t>tico en edificaciones e industrias constituyen los mayores desafíos para la mitigación, al tiempo que subrayan la necesidad de acelerar procesos de transición energética y transformación tecnológica en los sistemas de transporte público y privado (SDA, 2021).</w:t>
      </w:r>
    </w:p>
    <w:p w:rsidRPr="00D11C96" w:rsidR="00986293" w:rsidP="00D91919" w:rsidRDefault="003B34EB" w14:paraId="2F276437" w14:textId="40E77685">
      <w:pPr>
        <w:jc w:val="both"/>
        <w:rPr>
          <w:rFonts w:ascii="Garamond" w:hAnsi="Garamond"/>
          <w:sz w:val="22"/>
          <w:szCs w:val="22"/>
        </w:rPr>
      </w:pPr>
      <w:r w:rsidRPr="00D11C96">
        <w:rPr>
          <w:rFonts w:ascii="Garamond" w:hAnsi="Garamond"/>
          <w:sz w:val="22"/>
          <w:szCs w:val="22"/>
        </w:rPr>
        <w:t xml:space="preserve">Teniendo en cuenta lo anterior, </w:t>
      </w:r>
      <w:r w:rsidRPr="00D11C96" w:rsidR="00986293">
        <w:rPr>
          <w:rFonts w:ascii="Garamond" w:hAnsi="Garamond"/>
          <w:sz w:val="22"/>
          <w:szCs w:val="22"/>
        </w:rPr>
        <w:t xml:space="preserve">plantear lineamientos que contribuyan a mejorar la calidad de vida de la población </w:t>
      </w:r>
      <w:r w:rsidRPr="00D11C96" w:rsidR="00D91919">
        <w:rPr>
          <w:rFonts w:ascii="Garamond" w:hAnsi="Garamond"/>
          <w:sz w:val="22"/>
          <w:szCs w:val="22"/>
        </w:rPr>
        <w:t xml:space="preserve">en especial la campesina, </w:t>
      </w:r>
      <w:r w:rsidRPr="00D11C96" w:rsidR="00986293">
        <w:rPr>
          <w:rFonts w:ascii="Garamond" w:hAnsi="Garamond"/>
          <w:sz w:val="22"/>
          <w:szCs w:val="22"/>
        </w:rPr>
        <w:t xml:space="preserve">al avanzar hacia escenarios de mayor seguridad hídrica (IUA Crítico según IDEAM, 2022) y </w:t>
      </w:r>
      <w:r w:rsidRPr="00D11C96" w:rsidR="00D91919">
        <w:rPr>
          <w:rFonts w:ascii="Garamond" w:hAnsi="Garamond"/>
          <w:sz w:val="22"/>
          <w:szCs w:val="22"/>
        </w:rPr>
        <w:t xml:space="preserve">de mayor promoción de </w:t>
      </w:r>
      <w:r w:rsidRPr="00D11C96" w:rsidR="00986293">
        <w:rPr>
          <w:rFonts w:ascii="Garamond" w:hAnsi="Garamond"/>
          <w:sz w:val="22"/>
          <w:szCs w:val="22"/>
        </w:rPr>
        <w:t>la protección de espacios naturales y rurales, muchos de ellos necesarios para la producción de alimentos</w:t>
      </w:r>
      <w:r w:rsidRPr="00D11C96" w:rsidR="00D91919">
        <w:rPr>
          <w:rFonts w:ascii="Garamond" w:hAnsi="Garamond"/>
          <w:sz w:val="22"/>
          <w:szCs w:val="22"/>
        </w:rPr>
        <w:t>,</w:t>
      </w:r>
      <w:r w:rsidRPr="00D11C96" w:rsidR="00986293">
        <w:rPr>
          <w:rFonts w:ascii="Garamond" w:hAnsi="Garamond"/>
          <w:sz w:val="22"/>
          <w:szCs w:val="22"/>
        </w:rPr>
        <w:t xml:space="preserve"> permitirán </w:t>
      </w:r>
      <w:r w:rsidRPr="00D11C96" w:rsidR="00D91919">
        <w:rPr>
          <w:rFonts w:ascii="Garamond" w:hAnsi="Garamond"/>
          <w:sz w:val="22"/>
          <w:szCs w:val="22"/>
        </w:rPr>
        <w:t>la consolidación de territorios resilientes ante el cambio climático que reduzcan sus efectos adversos sobre las comunidades e indiscutiblemente sus impactos económicos sobre el sector agropecuario.</w:t>
      </w:r>
    </w:p>
    <w:p w:rsidRPr="00D11C96" w:rsidR="00D226FB" w:rsidP="00D343F6" w:rsidRDefault="00D226FB" w14:paraId="0AF865DB" w14:textId="21CE5B78">
      <w:pPr>
        <w:jc w:val="both"/>
        <w:rPr>
          <w:rFonts w:ascii="Garamond" w:hAnsi="Garamond"/>
          <w:b/>
          <w:bCs/>
          <w:sz w:val="28"/>
          <w:szCs w:val="28"/>
        </w:rPr>
      </w:pPr>
      <w:r w:rsidRPr="00D11C96">
        <w:rPr>
          <w:rFonts w:ascii="Garamond" w:hAnsi="Garamond"/>
          <w:b/>
          <w:bCs/>
          <w:sz w:val="28"/>
          <w:szCs w:val="28"/>
        </w:rPr>
        <w:t>2. Actividades minero energéticas: impacto ambiental en áreas de especial importancia ambiental y agropecuaria.</w:t>
      </w:r>
    </w:p>
    <w:p w:rsidRPr="00D11C96" w:rsidR="00D226FB" w:rsidP="00D343F6" w:rsidRDefault="00B10412" w14:paraId="570CBFB6" w14:textId="0AD25206">
      <w:pPr>
        <w:jc w:val="both"/>
        <w:rPr>
          <w:rFonts w:ascii="Garamond" w:hAnsi="Garamond"/>
          <w:sz w:val="22"/>
          <w:szCs w:val="22"/>
        </w:rPr>
      </w:pPr>
      <w:r w:rsidRPr="00D11C96">
        <w:rPr>
          <w:rFonts w:ascii="Garamond" w:hAnsi="Garamond"/>
          <w:sz w:val="22"/>
          <w:szCs w:val="22"/>
        </w:rPr>
        <w:t>Desde una perspectiva minero energética, e</w:t>
      </w:r>
      <w:r w:rsidRPr="00D11C96" w:rsidR="00D226FB">
        <w:rPr>
          <w:rFonts w:ascii="Garamond" w:hAnsi="Garamond"/>
          <w:sz w:val="22"/>
          <w:szCs w:val="22"/>
        </w:rPr>
        <w:t>xiste una notoria acumulación de pasivos ambientales por la explotación antitécnica, en zonas no compatibles y con cierres mineros no adecuados, junto con la generación de nuevos impactos ambientales, que se manifiestan en afectaciones como modificación y contaminación del drenaje natural, alteración del suelo, erosión, eliminación de cobertura vegetal, contaminación por material particulado, ruido y gases, impactos geomorfológicos, hidrogeológicos y geoquímicos, desestabilización de taludes y generación de riesgos por remoción en masa, pone en peligro la biodiversidad única de la Sabana de Bogotá</w:t>
      </w:r>
      <w:r w:rsidRPr="00D11C96" w:rsidR="00D226FB">
        <w:rPr>
          <w:rFonts w:ascii="Garamond" w:hAnsi="Garamond"/>
          <w:b/>
          <w:bCs/>
          <w:sz w:val="22"/>
          <w:szCs w:val="22"/>
        </w:rPr>
        <w:t>. Pag 86</w:t>
      </w:r>
    </w:p>
    <w:p w:rsidRPr="00D11C96" w:rsidR="00D226FB" w:rsidP="00D343F6" w:rsidRDefault="00B10412" w14:paraId="06FBB851" w14:textId="32EA97D4">
      <w:pPr>
        <w:jc w:val="both"/>
        <w:rPr>
          <w:rFonts w:ascii="Garamond" w:hAnsi="Garamond"/>
          <w:sz w:val="22"/>
          <w:szCs w:val="22"/>
        </w:rPr>
      </w:pPr>
      <w:r w:rsidRPr="00D11C96">
        <w:rPr>
          <w:rFonts w:ascii="Garamond" w:hAnsi="Garamond"/>
          <w:sz w:val="22"/>
          <w:szCs w:val="22"/>
        </w:rPr>
        <w:t xml:space="preserve">Estos </w:t>
      </w:r>
      <w:r w:rsidRPr="00D11C96" w:rsidR="00D226FB">
        <w:rPr>
          <w:rFonts w:ascii="Garamond" w:hAnsi="Garamond"/>
          <w:sz w:val="22"/>
          <w:szCs w:val="22"/>
        </w:rPr>
        <w:t xml:space="preserve">factores se interrelacionan con la minería en </w:t>
      </w:r>
      <w:r w:rsidRPr="00D11C96">
        <w:rPr>
          <w:rFonts w:ascii="Garamond" w:hAnsi="Garamond"/>
          <w:sz w:val="22"/>
          <w:szCs w:val="22"/>
        </w:rPr>
        <w:t>la</w:t>
      </w:r>
      <w:r w:rsidRPr="00D11C96" w:rsidR="00D226FB">
        <w:rPr>
          <w:rFonts w:ascii="Garamond" w:hAnsi="Garamond"/>
          <w:sz w:val="22"/>
          <w:szCs w:val="22"/>
        </w:rPr>
        <w:t xml:space="preserve"> región, </w:t>
      </w:r>
      <w:r w:rsidRPr="00D11C96">
        <w:rPr>
          <w:rFonts w:ascii="Garamond" w:hAnsi="Garamond"/>
          <w:sz w:val="22"/>
          <w:szCs w:val="22"/>
        </w:rPr>
        <w:t>desencadenando</w:t>
      </w:r>
      <w:r w:rsidRPr="00D11C96" w:rsidR="00D226FB">
        <w:rPr>
          <w:rFonts w:ascii="Garamond" w:hAnsi="Garamond"/>
          <w:sz w:val="22"/>
          <w:szCs w:val="22"/>
        </w:rPr>
        <w:t xml:space="preserve"> impactos asociados</w:t>
      </w:r>
      <w:r w:rsidRPr="00D11C96">
        <w:rPr>
          <w:rFonts w:ascii="Garamond" w:hAnsi="Garamond"/>
          <w:sz w:val="22"/>
          <w:szCs w:val="22"/>
        </w:rPr>
        <w:t xml:space="preserve"> como los siguientes </w:t>
      </w:r>
    </w:p>
    <w:p w:rsidRPr="00D11C96" w:rsidR="00D226FB" w:rsidP="00B10412" w:rsidRDefault="00D226FB" w14:paraId="74BF9AC2" w14:textId="77777777">
      <w:pPr>
        <w:pStyle w:val="ListParagraph"/>
        <w:numPr>
          <w:ilvl w:val="0"/>
          <w:numId w:val="15"/>
        </w:numPr>
        <w:jc w:val="both"/>
        <w:rPr>
          <w:rFonts w:ascii="Garamond" w:hAnsi="Garamond"/>
          <w:sz w:val="22"/>
          <w:szCs w:val="22"/>
        </w:rPr>
      </w:pPr>
      <w:proofErr w:type="spellStart"/>
      <w:r w:rsidRPr="00D11C96">
        <w:rPr>
          <w:rFonts w:ascii="Garamond" w:hAnsi="Garamond"/>
          <w:b/>
          <w:bCs/>
          <w:sz w:val="22"/>
          <w:szCs w:val="22"/>
        </w:rPr>
        <w:t>Andisoles</w:t>
      </w:r>
      <w:proofErr w:type="spellEnd"/>
      <w:r w:rsidRPr="00D11C96">
        <w:rPr>
          <w:rFonts w:ascii="Garamond" w:hAnsi="Garamond"/>
          <w:sz w:val="22"/>
          <w:szCs w:val="22"/>
        </w:rPr>
        <w:t xml:space="preserve">. Los </w:t>
      </w:r>
      <w:proofErr w:type="spellStart"/>
      <w:r w:rsidRPr="00D11C96">
        <w:rPr>
          <w:rFonts w:ascii="Garamond" w:hAnsi="Garamond"/>
          <w:sz w:val="22"/>
          <w:szCs w:val="22"/>
        </w:rPr>
        <w:t>andisoles</w:t>
      </w:r>
      <w:proofErr w:type="spellEnd"/>
      <w:r w:rsidRPr="00D11C96">
        <w:rPr>
          <w:rFonts w:ascii="Garamond" w:hAnsi="Garamond"/>
          <w:sz w:val="22"/>
          <w:szCs w:val="22"/>
        </w:rPr>
        <w:t xml:space="preserve"> son suelos volcánicos altamente fértiles, predominantes en la Sabana de Bogotá, y su preservación es crucial para la agricultura local. La explotación minera puede causar la erosión y la pérdida de estos suelos, afectando negativamente la producción agrícola y alterando el equilibrio ecológico. La normativa que protege estos suelos se encuentra en la Ley 99 de 1993, que establece la conservación de suelos de interés ecológico nacional (Ministerio de Ambiente y Desarrollo Sostenible, 2018). </w:t>
      </w:r>
    </w:p>
    <w:p w:rsidRPr="00D11C96" w:rsidR="00D226FB" w:rsidP="00B10412" w:rsidRDefault="00D226FB" w14:paraId="39F8DE84" w14:textId="77777777">
      <w:pPr>
        <w:pStyle w:val="ListParagraph"/>
        <w:numPr>
          <w:ilvl w:val="0"/>
          <w:numId w:val="15"/>
        </w:numPr>
        <w:jc w:val="both"/>
        <w:rPr>
          <w:rFonts w:ascii="Garamond" w:hAnsi="Garamond"/>
          <w:sz w:val="22"/>
          <w:szCs w:val="22"/>
        </w:rPr>
      </w:pPr>
      <w:r w:rsidRPr="00D11C96">
        <w:rPr>
          <w:rFonts w:ascii="Garamond" w:hAnsi="Garamond"/>
          <w:b/>
          <w:bCs/>
          <w:sz w:val="22"/>
          <w:szCs w:val="22"/>
        </w:rPr>
        <w:t>Acuíferos</w:t>
      </w:r>
      <w:r w:rsidRPr="00D11C96">
        <w:rPr>
          <w:rFonts w:ascii="Garamond" w:hAnsi="Garamond"/>
          <w:sz w:val="22"/>
          <w:szCs w:val="22"/>
        </w:rPr>
        <w:t xml:space="preserve">. Los acuíferos de la Sabana de Bogotá son una fuente vital de agua para consumo humano, agrícola e industrial. La minería puede impactar negativamente estos acuíferos mediante la contaminación de las aguas subterráneas con productos químicos utilizados en el proceso de extracción y la alteración de los flujos naturales de agua. </w:t>
      </w:r>
    </w:p>
    <w:p w:rsidRPr="00D11C96" w:rsidR="00D226FB" w:rsidP="00B10412" w:rsidRDefault="00D226FB" w14:paraId="31A7F7DE" w14:textId="77777777">
      <w:pPr>
        <w:pStyle w:val="ListParagraph"/>
        <w:numPr>
          <w:ilvl w:val="0"/>
          <w:numId w:val="15"/>
        </w:numPr>
        <w:jc w:val="both"/>
        <w:rPr>
          <w:rFonts w:ascii="Garamond" w:hAnsi="Garamond"/>
          <w:sz w:val="22"/>
          <w:szCs w:val="22"/>
        </w:rPr>
      </w:pPr>
      <w:r w:rsidRPr="00D11C96">
        <w:rPr>
          <w:rFonts w:ascii="Garamond" w:hAnsi="Garamond"/>
          <w:b/>
          <w:bCs/>
          <w:sz w:val="22"/>
          <w:szCs w:val="22"/>
        </w:rPr>
        <w:t>Zonas con Valor Arqueológico, Histórico y Cultural</w:t>
      </w:r>
      <w:r w:rsidRPr="00D11C96">
        <w:rPr>
          <w:rFonts w:ascii="Garamond" w:hAnsi="Garamond"/>
          <w:sz w:val="22"/>
          <w:szCs w:val="22"/>
        </w:rPr>
        <w:t xml:space="preserve">. La Sabana de Bogotá alberga importantes sitios arqueológicos y culturales que datan de épocas precolombinas. La minería en estas áreas puede llevar a la destrucción irreversible de patrimonios históricos y culturales. La Ley 163 de 1959 y la Ley 1185 de 2008 protegen estos sitios, prohibiendo actividades que puedan dañarlos (Congreso de la República de Colombia, 1959, 2008). </w:t>
      </w:r>
    </w:p>
    <w:p w:rsidRPr="00D11C96" w:rsidR="00D226FB" w:rsidP="00B10412" w:rsidRDefault="00D226FB" w14:paraId="44527E75" w14:textId="1B7D5163">
      <w:pPr>
        <w:pStyle w:val="ListParagraph"/>
        <w:numPr>
          <w:ilvl w:val="0"/>
          <w:numId w:val="15"/>
        </w:numPr>
        <w:jc w:val="both"/>
        <w:rPr>
          <w:rFonts w:ascii="Garamond" w:hAnsi="Garamond"/>
          <w:sz w:val="22"/>
          <w:szCs w:val="22"/>
        </w:rPr>
      </w:pPr>
      <w:r w:rsidRPr="00D11C96">
        <w:rPr>
          <w:rFonts w:ascii="Garamond" w:hAnsi="Garamond"/>
          <w:b/>
          <w:bCs/>
          <w:sz w:val="22"/>
          <w:szCs w:val="22"/>
        </w:rPr>
        <w:t>Llanuras de Inundación</w:t>
      </w:r>
      <w:r w:rsidRPr="00D11C96">
        <w:rPr>
          <w:rFonts w:ascii="Garamond" w:hAnsi="Garamond"/>
          <w:sz w:val="22"/>
          <w:szCs w:val="22"/>
        </w:rPr>
        <w:t>. Las llanuras de inundación son áreas bajas que se inundan periódicamente, jugando un papel crucial en la mitigación de inundaciones y en la recarga de acuíferos. La minería en estas zonas puede alterar su capacidad de almacenamiento de agua y aumentar el riesgo de inundaciones. La Ley 99 de 1993 y la Ley 685 de 2001 regulan la protección de estas áreas, limitando actividades mineras que puedan perjudicar su funcionalidad (Ministerio de Ambiente y Desarrollo Sostenible, 1993; Ministerio de Minas y Energía, 2001).</w:t>
      </w:r>
    </w:p>
    <w:p w:rsidRPr="00D11C96" w:rsidR="00A81D81" w:rsidP="00D343F6" w:rsidRDefault="00D226FB" w14:paraId="5B954C25" w14:textId="69747373">
      <w:pPr>
        <w:jc w:val="both"/>
        <w:rPr>
          <w:rFonts w:ascii="Garamond" w:hAnsi="Garamond"/>
          <w:b/>
          <w:bCs/>
          <w:sz w:val="22"/>
          <w:szCs w:val="22"/>
        </w:rPr>
      </w:pPr>
      <w:r w:rsidRPr="00D11C96">
        <w:rPr>
          <w:rFonts w:ascii="Garamond" w:hAnsi="Garamond"/>
          <w:sz w:val="22"/>
          <w:szCs w:val="22"/>
        </w:rPr>
        <w:t>Entre los impactos de la Minería en la Subxerofitia Andina, se pueden resaltar los siguientes</w:t>
      </w:r>
      <w:r w:rsidRPr="00D11C96">
        <w:rPr>
          <w:rFonts w:ascii="Garamond" w:hAnsi="Garamond"/>
          <w:b/>
          <w:bCs/>
          <w:sz w:val="22"/>
          <w:szCs w:val="22"/>
        </w:rPr>
        <w:t xml:space="preserve">: </w:t>
      </w:r>
      <w:r w:rsidRPr="00D11C96" w:rsidR="00A81D81">
        <w:rPr>
          <w:rFonts w:ascii="Garamond" w:hAnsi="Garamond"/>
          <w:b/>
          <w:bCs/>
          <w:sz w:val="22"/>
          <w:szCs w:val="22"/>
        </w:rPr>
        <w:t xml:space="preserve"> Pag 94</w:t>
      </w:r>
    </w:p>
    <w:p w:rsidRPr="00D11C96" w:rsidR="00A81D81" w:rsidP="00B10412" w:rsidRDefault="00D226FB" w14:paraId="78C9EF64" w14:textId="5B16E701">
      <w:pPr>
        <w:pStyle w:val="ListParagraph"/>
        <w:numPr>
          <w:ilvl w:val="0"/>
          <w:numId w:val="16"/>
        </w:numPr>
        <w:jc w:val="both"/>
        <w:rPr>
          <w:rFonts w:ascii="Garamond" w:hAnsi="Garamond"/>
          <w:sz w:val="22"/>
          <w:szCs w:val="22"/>
        </w:rPr>
      </w:pPr>
      <w:r w:rsidRPr="00D11C96">
        <w:rPr>
          <w:rFonts w:ascii="Garamond" w:hAnsi="Garamond"/>
          <w:sz w:val="22"/>
          <w:szCs w:val="22"/>
        </w:rPr>
        <w:t xml:space="preserve">Alteración del Hábitat. La actividad minera puede destruir o alterar significativamente el hábitat natural de las especies </w:t>
      </w:r>
      <w:proofErr w:type="spellStart"/>
      <w:r w:rsidRPr="00D11C96">
        <w:rPr>
          <w:rFonts w:ascii="Garamond" w:hAnsi="Garamond"/>
          <w:sz w:val="22"/>
          <w:szCs w:val="22"/>
        </w:rPr>
        <w:t>subxerofíticas</w:t>
      </w:r>
      <w:proofErr w:type="spellEnd"/>
      <w:r w:rsidRPr="00D11C96">
        <w:rPr>
          <w:rFonts w:ascii="Garamond" w:hAnsi="Garamond"/>
          <w:sz w:val="22"/>
          <w:szCs w:val="22"/>
        </w:rPr>
        <w:t xml:space="preserve">. La remoción de la vegetación y la alteración del terreno disminuyen la capacidad de estas plantas para sobrevivir, afectando la biodiversidad local y potencialmente llevando a la extinción de especies adaptadas a estas condiciones únicas (Ministerio de Ambiente y Desarrollo Sostenible, 2017). </w:t>
      </w:r>
    </w:p>
    <w:p w:rsidRPr="00D11C96" w:rsidR="00A81D81" w:rsidP="00B10412" w:rsidRDefault="00D226FB" w14:paraId="4C1DD6F6" w14:textId="4520CC7B">
      <w:pPr>
        <w:pStyle w:val="ListParagraph"/>
        <w:numPr>
          <w:ilvl w:val="0"/>
          <w:numId w:val="16"/>
        </w:numPr>
        <w:jc w:val="both"/>
        <w:rPr>
          <w:rFonts w:ascii="Garamond" w:hAnsi="Garamond"/>
          <w:sz w:val="22"/>
          <w:szCs w:val="22"/>
        </w:rPr>
      </w:pPr>
      <w:r w:rsidRPr="00D11C96">
        <w:rPr>
          <w:rFonts w:ascii="Garamond" w:hAnsi="Garamond"/>
          <w:sz w:val="22"/>
          <w:szCs w:val="22"/>
        </w:rPr>
        <w:t xml:space="preserve">Contaminación del Agua. Las operaciones mineras pueden contaminar los cuerpos de agua superficiales y subterráneos con metales pesados y químicos, lo que afecta directamente la disponibilidad y calidad del agua necesaria para la vida de las plantas </w:t>
      </w:r>
      <w:proofErr w:type="spellStart"/>
      <w:r w:rsidRPr="00D11C96">
        <w:rPr>
          <w:rFonts w:ascii="Garamond" w:hAnsi="Garamond"/>
          <w:sz w:val="22"/>
          <w:szCs w:val="22"/>
        </w:rPr>
        <w:t>subxerofíticas</w:t>
      </w:r>
      <w:proofErr w:type="spellEnd"/>
      <w:r w:rsidRPr="00D11C96">
        <w:rPr>
          <w:rFonts w:ascii="Garamond" w:hAnsi="Garamond"/>
          <w:sz w:val="22"/>
          <w:szCs w:val="22"/>
        </w:rPr>
        <w:t xml:space="preserve"> (Instituto Humboldt, 2018). </w:t>
      </w:r>
    </w:p>
    <w:p w:rsidRPr="00D11C96" w:rsidR="00D226FB" w:rsidP="00B10412" w:rsidRDefault="00D226FB" w14:paraId="688E8D05" w14:textId="67A7372B">
      <w:pPr>
        <w:pStyle w:val="ListParagraph"/>
        <w:numPr>
          <w:ilvl w:val="0"/>
          <w:numId w:val="16"/>
        </w:numPr>
        <w:jc w:val="both"/>
        <w:rPr>
          <w:rFonts w:ascii="Garamond" w:hAnsi="Garamond"/>
          <w:sz w:val="22"/>
          <w:szCs w:val="22"/>
        </w:rPr>
      </w:pPr>
      <w:r w:rsidRPr="00D11C96">
        <w:rPr>
          <w:rFonts w:ascii="Garamond" w:hAnsi="Garamond"/>
          <w:sz w:val="22"/>
          <w:szCs w:val="22"/>
        </w:rPr>
        <w:t>Cambio en los Patrones de Drenaje. La minería puede alterar los patrones naturales de drenaje en la región, cambiando la hidrología local. Esto puede reducir la disponibilidad de agua en el suelo, lo cual es crucial para la supervivencia de las especies adaptadas a la sequía. Para el caso de la Sabana de Bogotá, se presenta una intercepción de 2300,42 ha de las zonas compatibles con la minería según la Resolución 2001 de 2016 y Resolución 1499 de 2018. Igualmente, una superposición de 3235,99 Ha en áreas con títulos mineros (1,5ha terminados, 107,1 ha terminados -en liquidación y 3127,3 ha activos</w:t>
      </w:r>
      <w:r w:rsidRPr="00D11C96" w:rsidR="005B0330">
        <w:rPr>
          <w:rFonts w:ascii="Garamond" w:hAnsi="Garamond"/>
          <w:sz w:val="22"/>
          <w:szCs w:val="22"/>
        </w:rPr>
        <w:t>).</w:t>
      </w:r>
    </w:p>
    <w:p w:rsidRPr="00D11C96" w:rsidR="00A81D81" w:rsidP="00D343F6" w:rsidRDefault="005B0330" w14:paraId="45790A33" w14:textId="2A3BDD03">
      <w:pPr>
        <w:jc w:val="both"/>
        <w:rPr>
          <w:rFonts w:ascii="Garamond" w:hAnsi="Garamond"/>
          <w:sz w:val="22"/>
          <w:szCs w:val="22"/>
        </w:rPr>
      </w:pPr>
      <w:r w:rsidRPr="00D11C96">
        <w:rPr>
          <w:rFonts w:ascii="Garamond" w:hAnsi="Garamond"/>
          <w:sz w:val="22"/>
          <w:szCs w:val="22"/>
        </w:rPr>
        <w:t>Adicional a lo anterior, cuando las actividades mineras terminen, e</w:t>
      </w:r>
      <w:r w:rsidRPr="00D11C96" w:rsidR="009D04FC">
        <w:rPr>
          <w:rFonts w:ascii="Garamond" w:hAnsi="Garamond"/>
          <w:sz w:val="22"/>
          <w:szCs w:val="22"/>
        </w:rPr>
        <w:t xml:space="preserve">n muchos casos, la falta de regulaciones claras o su cumplimiento deficiente permite que los terrenos </w:t>
      </w:r>
      <w:proofErr w:type="spellStart"/>
      <w:r w:rsidRPr="00D11C96" w:rsidR="009D04FC">
        <w:rPr>
          <w:rFonts w:ascii="Garamond" w:hAnsi="Garamond"/>
          <w:sz w:val="22"/>
          <w:szCs w:val="22"/>
        </w:rPr>
        <w:t>posmineros</w:t>
      </w:r>
      <w:proofErr w:type="spellEnd"/>
      <w:r w:rsidRPr="00D11C96" w:rsidR="009D04FC">
        <w:rPr>
          <w:rFonts w:ascii="Garamond" w:hAnsi="Garamond"/>
          <w:sz w:val="22"/>
          <w:szCs w:val="22"/>
        </w:rPr>
        <w:t xml:space="preserve"> sean utilizados para actividades industriales o de expansión urbana sin criterios ecológicos. Estas decisiones pueden incrementar la contaminación residual en suelos y cuerpos de agua, afectando la salud pública y generando costos adicionales para la mitigación de impactos (Fernández &amp; Sánchez, 2020).</w:t>
      </w:r>
    </w:p>
    <w:p w:rsidRPr="00D11C96" w:rsidR="009D04FC" w:rsidP="00D343F6" w:rsidRDefault="00615FB4" w14:paraId="1F9E0FA9" w14:textId="22FF0387">
      <w:pPr>
        <w:jc w:val="both"/>
        <w:rPr>
          <w:rFonts w:ascii="Garamond" w:hAnsi="Garamond"/>
          <w:sz w:val="22"/>
          <w:szCs w:val="22"/>
        </w:rPr>
      </w:pPr>
      <w:r>
        <w:rPr>
          <w:rFonts w:ascii="Garamond" w:hAnsi="Garamond"/>
          <w:sz w:val="22"/>
          <w:szCs w:val="22"/>
        </w:rPr>
        <w:t>E</w:t>
      </w:r>
      <w:r w:rsidRPr="00D11C96" w:rsidR="009D04FC">
        <w:rPr>
          <w:rFonts w:ascii="Garamond" w:hAnsi="Garamond"/>
          <w:sz w:val="22"/>
          <w:szCs w:val="22"/>
        </w:rPr>
        <w:t xml:space="preserve">l impacto del cambio climático sobre las áreas degradadas por minería refuerza la necesidad de una restauración ambiental rigurosa. La alteración del equilibrio hidrológico y la mayor susceptibilidad a eventos climáticos extremos, como sequías o inundaciones, pueden intensificar los efectos negativos de los sitios mineros abandonados. Implementar estrategias de recuperación con enfoque ecosistémico es clave para mitigar estos riesgos y garantizar la resiliencia de los territorios afectados (IUCN, 2022). </w:t>
      </w:r>
    </w:p>
    <w:p w:rsidRPr="00D11C96" w:rsidR="00AF15B3" w:rsidP="00D343F6" w:rsidRDefault="00AF15B3" w14:paraId="09C0B6B3" w14:textId="64A4AB80">
      <w:pPr>
        <w:jc w:val="both"/>
        <w:rPr>
          <w:rFonts w:ascii="Garamond" w:hAnsi="Garamond"/>
          <w:sz w:val="22"/>
          <w:szCs w:val="22"/>
        </w:rPr>
      </w:pPr>
      <w:r w:rsidRPr="00D11C96">
        <w:rPr>
          <w:rFonts w:ascii="Garamond" w:hAnsi="Garamond"/>
          <w:sz w:val="22"/>
          <w:szCs w:val="22"/>
        </w:rPr>
        <w:t xml:space="preserve">Resulta preocupante que entre los municipios que no cuentan con PMAA se encuentran Villapinzón y Chocontá, entes territoriales que tienen presencia de actividades de curtiembres que se caracterizan por generar un impacto significativo en términos de contaminación por cromo, sulfuros y amonios. La liberación de cromo, especialmente en su forma hexavalente altamente tóxica, representa una amenaza seria para la calidad del agua, siendo perjudicial para la vida acuática y potencialmente dañino para la salud humana. Los sulfuros, derivados de procesos de curtido, pueden acidificar el agua y causar daños a los ecosistemas acuáticos. Además, la presencia de altos niveles de amonios provenientes de las operaciones de curtido puede desencadenar la eutrofización, agotando el oxígeno en el agua y afectando negativamente la biodiversidad acuática. </w:t>
      </w:r>
    </w:p>
    <w:p w:rsidR="009D04FC" w:rsidP="00D343F6" w:rsidRDefault="00AF15B3" w14:paraId="5C4B8D2A" w14:textId="7B5512D7">
      <w:pPr>
        <w:jc w:val="both"/>
        <w:rPr>
          <w:rFonts w:ascii="Garamond" w:hAnsi="Garamond"/>
          <w:sz w:val="22"/>
          <w:szCs w:val="22"/>
        </w:rPr>
      </w:pPr>
      <w:r w:rsidRPr="00D11C96">
        <w:rPr>
          <w:rFonts w:ascii="Garamond" w:hAnsi="Garamond"/>
          <w:sz w:val="22"/>
          <w:szCs w:val="22"/>
        </w:rPr>
        <w:t>Del mismo modo, es inquietante la inexistencia de PMAA en municipios como Facatativá, ente territorial de la cuenca que ocupa el tercer lugar en cantidad de población después de Bogotá D.C y Soacha (DANE D. A., 2018), por lo que puede contribuir de manera significativa a la generación de vertimientos residenciales, los cuales aportan aguas residuales domésticas que a menudo contienen una variedad de contaminantes, como materia orgánica, nutrientes y productos químicos domésticos cuyo principal impacto es la eutrofización y la disminución de oxígeno en los cuerpos de agua; o en municipios como Gachancipá cuya actividad económica principal es mayoritariamente de tipo agroindustrial, lo cual resulta de especial importancia considerando que de manera general en la cuenca del río Bogotá el sector industrial aporta el 55% de la carga contaminante total de la DQO y en términos de nutrientes aporta un 34% de nitrógeno total y 21% de fósforo (CAR C. C., 2022).</w:t>
      </w:r>
    </w:p>
    <w:p w:rsidR="006532FA" w:rsidP="00D343F6" w:rsidRDefault="00C359CB" w14:paraId="166852F4" w14:textId="7E1D7CC5">
      <w:pPr>
        <w:jc w:val="both"/>
        <w:rPr>
          <w:rFonts w:ascii="Garamond" w:hAnsi="Garamond"/>
          <w:sz w:val="22"/>
          <w:szCs w:val="22"/>
        </w:rPr>
      </w:pPr>
      <w:r>
        <w:rPr>
          <w:rFonts w:ascii="Garamond" w:hAnsi="Garamond"/>
          <w:sz w:val="22"/>
          <w:szCs w:val="22"/>
        </w:rPr>
        <w:t xml:space="preserve">Teniendo en cuenta el contexto anterior, si bien las directrices de la Sabana, no pretenden detener las actividades mineras al interior del ámbito de aplicación, si busca que las actividades </w:t>
      </w:r>
      <w:proofErr w:type="spellStart"/>
      <w:r>
        <w:rPr>
          <w:rFonts w:ascii="Garamond" w:hAnsi="Garamond"/>
          <w:sz w:val="22"/>
          <w:szCs w:val="22"/>
        </w:rPr>
        <w:t>posmineras</w:t>
      </w:r>
      <w:proofErr w:type="spellEnd"/>
      <w:r>
        <w:rPr>
          <w:rFonts w:ascii="Garamond" w:hAnsi="Garamond"/>
          <w:sz w:val="22"/>
          <w:szCs w:val="22"/>
        </w:rPr>
        <w:t xml:space="preserve"> </w:t>
      </w:r>
      <w:r w:rsidR="00A86513">
        <w:rPr>
          <w:rFonts w:ascii="Garamond" w:hAnsi="Garamond"/>
          <w:sz w:val="22"/>
          <w:szCs w:val="22"/>
        </w:rPr>
        <w:t>puedan ser susceptibles de su recuperación y rehabilitación.</w:t>
      </w:r>
    </w:p>
    <w:p w:rsidR="00A86513" w:rsidP="00D343F6" w:rsidRDefault="00A86513" w14:paraId="151E9A8F" w14:textId="51EEE6CF">
      <w:pPr>
        <w:jc w:val="both"/>
        <w:rPr>
          <w:rFonts w:ascii="Garamond" w:hAnsi="Garamond"/>
          <w:sz w:val="22"/>
          <w:szCs w:val="22"/>
        </w:rPr>
      </w:pPr>
      <w:r>
        <w:rPr>
          <w:rFonts w:ascii="Garamond" w:hAnsi="Garamond"/>
          <w:sz w:val="22"/>
          <w:szCs w:val="22"/>
        </w:rPr>
        <w:t xml:space="preserve">Como se señalaba en el </w:t>
      </w:r>
      <w:r w:rsidR="004D2718">
        <w:rPr>
          <w:rFonts w:ascii="Garamond" w:hAnsi="Garamond"/>
          <w:sz w:val="22"/>
          <w:szCs w:val="22"/>
        </w:rPr>
        <w:t>subtítulo</w:t>
      </w:r>
      <w:r>
        <w:rPr>
          <w:rFonts w:ascii="Garamond" w:hAnsi="Garamond"/>
          <w:sz w:val="22"/>
          <w:szCs w:val="22"/>
        </w:rPr>
        <w:t xml:space="preserve"> de restauración, </w:t>
      </w:r>
      <w:r w:rsidR="004D2718">
        <w:rPr>
          <w:rFonts w:ascii="Garamond" w:hAnsi="Garamond"/>
          <w:sz w:val="22"/>
          <w:szCs w:val="22"/>
        </w:rPr>
        <w:t xml:space="preserve">hay un total de </w:t>
      </w:r>
      <w:r w:rsidRPr="004D2718" w:rsidR="004D2718">
        <w:rPr>
          <w:rFonts w:ascii="Garamond" w:hAnsi="Garamond"/>
          <w:sz w:val="22"/>
          <w:szCs w:val="22"/>
        </w:rPr>
        <w:t>4550.2</w:t>
      </w:r>
      <w:r w:rsidR="004D2718">
        <w:rPr>
          <w:rFonts w:ascii="Garamond" w:hAnsi="Garamond"/>
          <w:sz w:val="22"/>
          <w:szCs w:val="22"/>
        </w:rPr>
        <w:t xml:space="preserve"> </w:t>
      </w:r>
      <w:r w:rsidR="00831731">
        <w:rPr>
          <w:rFonts w:ascii="Garamond" w:hAnsi="Garamond"/>
          <w:sz w:val="22"/>
          <w:szCs w:val="22"/>
        </w:rPr>
        <w:t>hectáreas</w:t>
      </w:r>
      <w:r w:rsidR="004D2718">
        <w:rPr>
          <w:rFonts w:ascii="Garamond" w:hAnsi="Garamond"/>
          <w:sz w:val="22"/>
          <w:szCs w:val="22"/>
        </w:rPr>
        <w:t xml:space="preserve"> con potencial de </w:t>
      </w:r>
      <w:r w:rsidR="00831731">
        <w:rPr>
          <w:rFonts w:ascii="Garamond" w:hAnsi="Garamond"/>
          <w:sz w:val="22"/>
          <w:szCs w:val="22"/>
        </w:rPr>
        <w:t xml:space="preserve">recuperación y rehabilitación en escenarios </w:t>
      </w:r>
      <w:proofErr w:type="spellStart"/>
      <w:r w:rsidR="00831731">
        <w:rPr>
          <w:rFonts w:ascii="Garamond" w:hAnsi="Garamond"/>
          <w:sz w:val="22"/>
          <w:szCs w:val="22"/>
        </w:rPr>
        <w:t>posmineros</w:t>
      </w:r>
      <w:proofErr w:type="spellEnd"/>
      <w:r w:rsidR="00831731">
        <w:rPr>
          <w:rFonts w:ascii="Garamond" w:hAnsi="Garamond"/>
          <w:sz w:val="22"/>
          <w:szCs w:val="22"/>
        </w:rPr>
        <w:t xml:space="preserve">, dado que sobre los cuales existen elementos de la estructura ecológica principal y de ecosistemas </w:t>
      </w:r>
      <w:proofErr w:type="spellStart"/>
      <w:r w:rsidR="00831731">
        <w:rPr>
          <w:rFonts w:ascii="Garamond" w:hAnsi="Garamond"/>
          <w:sz w:val="22"/>
          <w:szCs w:val="22"/>
        </w:rPr>
        <w:t>subxerofiticos</w:t>
      </w:r>
      <w:proofErr w:type="spellEnd"/>
      <w:r w:rsidR="00831731">
        <w:rPr>
          <w:rFonts w:ascii="Garamond" w:hAnsi="Garamond"/>
          <w:sz w:val="22"/>
          <w:szCs w:val="22"/>
        </w:rPr>
        <w:t xml:space="preserve"> y de bosque</w:t>
      </w:r>
      <w:r w:rsidR="00E37D4E">
        <w:rPr>
          <w:rFonts w:ascii="Garamond" w:hAnsi="Garamond"/>
          <w:sz w:val="22"/>
          <w:szCs w:val="22"/>
        </w:rPr>
        <w:t xml:space="preserve"> andino que</w:t>
      </w:r>
      <w:r w:rsidR="00E021A4">
        <w:rPr>
          <w:rFonts w:ascii="Garamond" w:hAnsi="Garamond"/>
          <w:sz w:val="22"/>
          <w:szCs w:val="22"/>
        </w:rPr>
        <w:t xml:space="preserve"> aportan a la conectividad y que su recuperación implicaría aportar a revertir </w:t>
      </w:r>
      <w:r w:rsidR="00ED3D14">
        <w:rPr>
          <w:rFonts w:ascii="Garamond" w:hAnsi="Garamond"/>
          <w:sz w:val="22"/>
          <w:szCs w:val="22"/>
        </w:rPr>
        <w:t>la perdida de integridad ecológica de la Sabana.</w:t>
      </w:r>
      <w:r w:rsidR="00E021A4">
        <w:rPr>
          <w:rFonts w:ascii="Garamond" w:hAnsi="Garamond"/>
          <w:sz w:val="22"/>
          <w:szCs w:val="22"/>
        </w:rPr>
        <w:t xml:space="preserve"> </w:t>
      </w:r>
    </w:p>
    <w:p w:rsidR="00FD3FB4" w:rsidP="00FD3FB4" w:rsidRDefault="00FD3FB4" w14:paraId="58387859" w14:textId="492E9B28">
      <w:pPr>
        <w:pStyle w:val="Caption"/>
        <w:keepNext/>
        <w:jc w:val="center"/>
      </w:pPr>
      <w:r>
        <w:t xml:space="preserve">Ilustración </w:t>
      </w:r>
      <w:r>
        <w:fldChar w:fldCharType="begin"/>
      </w:r>
      <w:r>
        <w:instrText xml:space="preserve"> SEQ Ilustración \* ARABIC </w:instrText>
      </w:r>
      <w:r>
        <w:fldChar w:fldCharType="separate"/>
      </w:r>
      <w:r w:rsidR="00FF34DC">
        <w:rPr>
          <w:noProof/>
        </w:rPr>
        <w:t>7</w:t>
      </w:r>
      <w:r>
        <w:fldChar w:fldCharType="end"/>
      </w:r>
      <w:r>
        <w:t xml:space="preserve">. </w:t>
      </w:r>
      <w:r w:rsidRPr="00E54C63">
        <w:t xml:space="preserve">Potencial de recuperación y rehabilitación </w:t>
      </w:r>
      <w:proofErr w:type="spellStart"/>
      <w:r w:rsidRPr="00E54C63">
        <w:t>posminera</w:t>
      </w:r>
      <w:proofErr w:type="spellEnd"/>
      <w:r w:rsidRPr="00E54C63">
        <w:t xml:space="preserve"> en la Sabana de Bogotá</w:t>
      </w:r>
    </w:p>
    <w:p w:rsidRPr="005D5662" w:rsidR="005D5662" w:rsidP="005D5662" w:rsidRDefault="005D5662" w14:paraId="1AF57026" w14:textId="1B073941">
      <w:pPr>
        <w:jc w:val="center"/>
        <w:rPr>
          <w:rFonts w:ascii="Garamond" w:hAnsi="Garamond"/>
          <w:sz w:val="22"/>
          <w:szCs w:val="22"/>
          <w:lang w:val="en-US"/>
        </w:rPr>
      </w:pPr>
      <w:r w:rsidRPr="005D5662">
        <w:rPr>
          <w:rFonts w:ascii="Garamond" w:hAnsi="Garamond"/>
          <w:noProof/>
          <w:sz w:val="22"/>
          <w:szCs w:val="22"/>
          <w:lang w:val="en-US"/>
        </w:rPr>
        <w:drawing>
          <wp:inline distT="0" distB="0" distL="0" distR="0" wp14:anchorId="2DF49499" wp14:editId="16BA4C07">
            <wp:extent cx="3111147" cy="4026877"/>
            <wp:effectExtent l="0" t="0" r="0" b="0"/>
            <wp:docPr id="2011647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153" cy="4034650"/>
                    </a:xfrm>
                    <a:prstGeom prst="rect">
                      <a:avLst/>
                    </a:prstGeom>
                    <a:noFill/>
                    <a:ln>
                      <a:noFill/>
                    </a:ln>
                  </pic:spPr>
                </pic:pic>
              </a:graphicData>
            </a:graphic>
          </wp:inline>
        </w:drawing>
      </w:r>
    </w:p>
    <w:p w:rsidR="00FD3FB4" w:rsidP="00FD3FB4" w:rsidRDefault="00FD3FB4" w14:paraId="234B4E57" w14:textId="77777777">
      <w:pPr>
        <w:jc w:val="center"/>
        <w:rPr>
          <w:rFonts w:ascii="Garamond" w:hAnsi="Garamond"/>
          <w:sz w:val="22"/>
          <w:szCs w:val="22"/>
        </w:rPr>
      </w:pPr>
      <w:r w:rsidRPr="00D11C96">
        <w:rPr>
          <w:rFonts w:ascii="Garamond" w:hAnsi="Garamond" w:cs="Arial"/>
          <w:sz w:val="20"/>
          <w:szCs w:val="20"/>
        </w:rPr>
        <w:t>Fuente:</w:t>
      </w:r>
      <w:r>
        <w:rPr>
          <w:rFonts w:ascii="Garamond" w:hAnsi="Garamond" w:cs="Arial"/>
          <w:sz w:val="20"/>
          <w:szCs w:val="20"/>
        </w:rPr>
        <w:t xml:space="preserve"> </w:t>
      </w:r>
      <w:proofErr w:type="spellStart"/>
      <w:r>
        <w:rPr>
          <w:rFonts w:ascii="Garamond" w:hAnsi="Garamond" w:cs="Arial"/>
          <w:sz w:val="20"/>
          <w:szCs w:val="20"/>
        </w:rPr>
        <w:t>MinAmbiente</w:t>
      </w:r>
      <w:proofErr w:type="spellEnd"/>
      <w:r>
        <w:rPr>
          <w:rFonts w:ascii="Garamond" w:hAnsi="Garamond" w:cs="Arial"/>
          <w:sz w:val="20"/>
          <w:szCs w:val="20"/>
        </w:rPr>
        <w:t xml:space="preserve"> (2025)</w:t>
      </w:r>
    </w:p>
    <w:p w:rsidR="00FF29EA" w:rsidP="00D343F6" w:rsidRDefault="00FF29EA" w14:paraId="5CCE526A" w14:textId="77777777">
      <w:pPr>
        <w:jc w:val="both"/>
        <w:rPr>
          <w:rFonts w:ascii="Garamond" w:hAnsi="Garamond"/>
          <w:sz w:val="22"/>
          <w:szCs w:val="22"/>
        </w:rPr>
      </w:pPr>
    </w:p>
    <w:p w:rsidRPr="00D11C96" w:rsidR="009D04FC" w:rsidP="00D343F6" w:rsidRDefault="009D04FC" w14:paraId="3C91385D" w14:textId="74C6C8E6">
      <w:pPr>
        <w:jc w:val="both"/>
        <w:rPr>
          <w:rFonts w:ascii="Garamond" w:hAnsi="Garamond"/>
          <w:b/>
          <w:bCs/>
          <w:sz w:val="32"/>
          <w:szCs w:val="32"/>
        </w:rPr>
      </w:pPr>
      <w:r w:rsidRPr="00D11C96">
        <w:rPr>
          <w:rFonts w:ascii="Garamond" w:hAnsi="Garamond"/>
          <w:b/>
          <w:bCs/>
          <w:sz w:val="32"/>
          <w:szCs w:val="32"/>
        </w:rPr>
        <w:t>3. Pérdida de Biodiversidad: Deterioro de la integridad ecológica.</w:t>
      </w:r>
    </w:p>
    <w:p w:rsidRPr="004907D1" w:rsidR="00527518" w:rsidP="004907D1" w:rsidRDefault="009D04FC" w14:paraId="03688C43" w14:textId="67F103E9">
      <w:pPr>
        <w:jc w:val="both"/>
        <w:rPr>
          <w:rFonts w:ascii="Garamond" w:hAnsi="Garamond"/>
          <w:sz w:val="22"/>
          <w:szCs w:val="22"/>
        </w:rPr>
      </w:pPr>
      <w:r w:rsidRPr="00D11C96">
        <w:rPr>
          <w:rFonts w:ascii="Garamond" w:hAnsi="Garamond"/>
          <w:sz w:val="22"/>
          <w:szCs w:val="22"/>
        </w:rPr>
        <w:t xml:space="preserve">La alteración del hábitat y los impactos de las especies invasoras se han convertido en la causa principal de la extinción de especies en los últimos años. La Sabana de Bogotá ha enfrentado en los últimos años un alto grado de alteración en los ecosistemas y por ende susceptible a focos de invasión biológica que conllevan a la extinción de ecosistemas y dificulta la restauración ecológica de aquellas áreas de interés. </w:t>
      </w:r>
    </w:p>
    <w:p w:rsidRPr="00FE15E3" w:rsidR="004907D1" w:rsidP="004907D1" w:rsidRDefault="004907D1" w14:paraId="71AB526C" w14:textId="4C41C707">
      <w:pPr>
        <w:pStyle w:val="Caption"/>
        <w:jc w:val="center"/>
      </w:pPr>
      <w:bookmarkStart w:name="_Toc211545261" w:id="14"/>
      <w:r w:rsidRPr="00FE15E3">
        <w:t xml:space="preserve">Tabla </w:t>
      </w:r>
      <w:r w:rsidRPr="00FE15E3">
        <w:fldChar w:fldCharType="begin"/>
      </w:r>
      <w:r w:rsidRPr="00FE15E3">
        <w:instrText>SEQ Tabla \* ARABIC</w:instrText>
      </w:r>
      <w:r w:rsidRPr="00FE15E3">
        <w:fldChar w:fldCharType="separate"/>
      </w:r>
      <w:r w:rsidR="006E2525">
        <w:rPr>
          <w:noProof/>
        </w:rPr>
        <w:t>14</w:t>
      </w:r>
      <w:r w:rsidRPr="00FE15E3">
        <w:fldChar w:fldCharType="end"/>
      </w:r>
      <w:r w:rsidRPr="00FE15E3">
        <w:t>. Relación de especies invasoras identificadas en la Sabana de Bogotá</w:t>
      </w:r>
      <w:bookmarkEnd w:id="14"/>
    </w:p>
    <w:tbl>
      <w:tblPr>
        <w:tblStyle w:val="TableGrid"/>
        <w:tblW w:w="8789" w:type="dxa"/>
        <w:jc w:val="center"/>
        <w:tblLayout w:type="fixed"/>
        <w:tblLook w:val="0420" w:firstRow="1" w:lastRow="0" w:firstColumn="0" w:lastColumn="0" w:noHBand="0" w:noVBand="1"/>
      </w:tblPr>
      <w:tblGrid>
        <w:gridCol w:w="1906"/>
        <w:gridCol w:w="1111"/>
        <w:gridCol w:w="1588"/>
        <w:gridCol w:w="1491"/>
        <w:gridCol w:w="1417"/>
        <w:gridCol w:w="1276"/>
      </w:tblGrid>
      <w:tr w:rsidRPr="00FE15E3" w:rsidR="004907D1" w:rsidTr="00B769A4" w14:paraId="360362EC" w14:textId="77777777">
        <w:trPr>
          <w:trHeight w:val="188"/>
          <w:tblHeader/>
          <w:jc w:val="center"/>
        </w:trPr>
        <w:tc>
          <w:tcPr>
            <w:tcW w:w="1906" w:type="dxa"/>
            <w:vAlign w:val="center"/>
          </w:tcPr>
          <w:p w:rsidRPr="00FE15E3" w:rsidR="004907D1" w:rsidP="00B769A4" w:rsidRDefault="004907D1" w14:paraId="5485F145" w14:textId="37E8CE7F">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Especie</w:t>
            </w:r>
          </w:p>
        </w:tc>
        <w:tc>
          <w:tcPr>
            <w:tcW w:w="1111" w:type="dxa"/>
            <w:vAlign w:val="center"/>
          </w:tcPr>
          <w:p w:rsidRPr="00FE15E3" w:rsidR="004907D1" w:rsidP="00B769A4" w:rsidRDefault="004907D1" w14:paraId="3185BD9B" w14:textId="7946A1F2">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Reino</w:t>
            </w:r>
          </w:p>
        </w:tc>
        <w:tc>
          <w:tcPr>
            <w:tcW w:w="1588" w:type="dxa"/>
            <w:vAlign w:val="center"/>
          </w:tcPr>
          <w:p w:rsidRPr="00FE15E3" w:rsidR="004907D1" w:rsidP="00B769A4" w:rsidRDefault="004907D1" w14:paraId="72C7BF78" w14:textId="77777777">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Grupo</w:t>
            </w:r>
          </w:p>
        </w:tc>
        <w:tc>
          <w:tcPr>
            <w:tcW w:w="1491" w:type="dxa"/>
            <w:vAlign w:val="center"/>
          </w:tcPr>
          <w:p w:rsidRPr="00FE15E3" w:rsidR="004907D1" w:rsidP="00B769A4" w:rsidRDefault="004907D1" w14:paraId="74094877" w14:textId="25BFA984">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Clase</w:t>
            </w:r>
          </w:p>
        </w:tc>
        <w:tc>
          <w:tcPr>
            <w:tcW w:w="1417" w:type="dxa"/>
            <w:vAlign w:val="center"/>
          </w:tcPr>
          <w:p w:rsidRPr="00FE15E3" w:rsidR="004907D1" w:rsidP="00B769A4" w:rsidRDefault="004907D1" w14:paraId="232DF066" w14:textId="77777777">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Orden</w:t>
            </w:r>
          </w:p>
        </w:tc>
        <w:tc>
          <w:tcPr>
            <w:tcW w:w="1276" w:type="dxa"/>
            <w:vAlign w:val="center"/>
          </w:tcPr>
          <w:p w:rsidRPr="00FE15E3" w:rsidR="004907D1" w:rsidP="00B769A4" w:rsidRDefault="004907D1" w14:paraId="346C3393" w14:textId="44D6F64F">
            <w:pPr>
              <w:autoSpaceDE w:val="0"/>
              <w:autoSpaceDN w:val="0"/>
              <w:adjustRightInd w:val="0"/>
              <w:jc w:val="center"/>
              <w:rPr>
                <w:rFonts w:eastAsia="Baskerville Old Face" w:cs="Baskerville Old Face"/>
                <w:b/>
                <w:sz w:val="20"/>
                <w:szCs w:val="20"/>
              </w:rPr>
            </w:pPr>
            <w:r w:rsidRPr="00FE15E3">
              <w:rPr>
                <w:rFonts w:eastAsia="Baskerville Old Face" w:cs="Baskerville Old Face"/>
                <w:b/>
                <w:sz w:val="20"/>
                <w:szCs w:val="20"/>
                <w:lang w:eastAsia="es-CO"/>
              </w:rPr>
              <w:t>Familia</w:t>
            </w:r>
          </w:p>
        </w:tc>
      </w:tr>
      <w:tr w:rsidRPr="00FE15E3" w:rsidR="004907D1" w:rsidTr="00B769A4" w14:paraId="1109E6F4" w14:textId="77777777">
        <w:trPr>
          <w:trHeight w:val="366"/>
          <w:jc w:val="center"/>
        </w:trPr>
        <w:tc>
          <w:tcPr>
            <w:tcW w:w="1906" w:type="dxa"/>
            <w:vAlign w:val="center"/>
          </w:tcPr>
          <w:p w:rsidRPr="00FE15E3" w:rsidR="004907D1" w:rsidP="00B769A4" w:rsidRDefault="004907D1" w14:paraId="3AF6CD61"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Alopochen</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aegyptiaca</w:t>
            </w:r>
            <w:proofErr w:type="spellEnd"/>
          </w:p>
        </w:tc>
        <w:tc>
          <w:tcPr>
            <w:tcW w:w="1111" w:type="dxa"/>
            <w:vAlign w:val="center"/>
          </w:tcPr>
          <w:p w:rsidRPr="00FE15E3" w:rsidR="004907D1" w:rsidP="00B769A4" w:rsidRDefault="004907D1" w14:paraId="2931CD51"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769E7669"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Chordata</w:t>
            </w:r>
            <w:proofErr w:type="spellEnd"/>
          </w:p>
        </w:tc>
        <w:tc>
          <w:tcPr>
            <w:tcW w:w="1491" w:type="dxa"/>
            <w:vAlign w:val="center"/>
          </w:tcPr>
          <w:p w:rsidRPr="00FE15E3" w:rsidR="004907D1" w:rsidP="00B769A4" w:rsidRDefault="004907D1" w14:paraId="3831A01E"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Aves</w:t>
            </w:r>
          </w:p>
        </w:tc>
        <w:tc>
          <w:tcPr>
            <w:tcW w:w="1417" w:type="dxa"/>
            <w:vAlign w:val="center"/>
          </w:tcPr>
          <w:p w:rsidRPr="00FE15E3" w:rsidR="004907D1" w:rsidP="00B769A4" w:rsidRDefault="004907D1" w14:paraId="62D8700B"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Anseriformes</w:t>
            </w:r>
          </w:p>
        </w:tc>
        <w:tc>
          <w:tcPr>
            <w:tcW w:w="1276" w:type="dxa"/>
            <w:vAlign w:val="center"/>
          </w:tcPr>
          <w:p w:rsidRPr="00FE15E3" w:rsidR="004907D1" w:rsidP="00B769A4" w:rsidRDefault="004907D1" w14:paraId="244F4B56"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Anatidae</w:t>
            </w:r>
            <w:proofErr w:type="spellEnd"/>
          </w:p>
        </w:tc>
      </w:tr>
      <w:tr w:rsidRPr="00FE15E3" w:rsidR="004907D1" w:rsidTr="00B769A4" w14:paraId="0CC7D9D1" w14:textId="77777777">
        <w:trPr>
          <w:trHeight w:val="188"/>
          <w:jc w:val="center"/>
        </w:trPr>
        <w:tc>
          <w:tcPr>
            <w:tcW w:w="1906" w:type="dxa"/>
            <w:vAlign w:val="center"/>
          </w:tcPr>
          <w:p w:rsidRPr="00FE15E3" w:rsidR="004907D1" w:rsidP="00B769A4" w:rsidRDefault="004907D1" w14:paraId="43EDE7C5"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Cornu</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aspersum</w:t>
            </w:r>
            <w:proofErr w:type="spellEnd"/>
          </w:p>
        </w:tc>
        <w:tc>
          <w:tcPr>
            <w:tcW w:w="1111" w:type="dxa"/>
            <w:vAlign w:val="center"/>
          </w:tcPr>
          <w:p w:rsidRPr="00FE15E3" w:rsidR="004907D1" w:rsidP="00B769A4" w:rsidRDefault="004907D1" w14:paraId="18E15533"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178E36D5"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Mollusca</w:t>
            </w:r>
            <w:proofErr w:type="spellEnd"/>
          </w:p>
        </w:tc>
        <w:tc>
          <w:tcPr>
            <w:tcW w:w="1491" w:type="dxa"/>
            <w:vAlign w:val="center"/>
          </w:tcPr>
          <w:p w:rsidRPr="00FE15E3" w:rsidR="004907D1" w:rsidP="00B769A4" w:rsidRDefault="004907D1" w14:paraId="45DA50C9"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Gastropoda</w:t>
            </w:r>
            <w:proofErr w:type="spellEnd"/>
          </w:p>
        </w:tc>
        <w:tc>
          <w:tcPr>
            <w:tcW w:w="1417" w:type="dxa"/>
            <w:vAlign w:val="center"/>
          </w:tcPr>
          <w:p w:rsidRPr="00FE15E3" w:rsidR="004907D1" w:rsidP="00B769A4" w:rsidRDefault="004907D1" w14:paraId="635A0CD4"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Stylommatophora</w:t>
            </w:r>
            <w:proofErr w:type="spellEnd"/>
          </w:p>
        </w:tc>
        <w:tc>
          <w:tcPr>
            <w:tcW w:w="1276" w:type="dxa"/>
            <w:vAlign w:val="center"/>
          </w:tcPr>
          <w:p w:rsidRPr="00FE15E3" w:rsidR="004907D1" w:rsidP="00B769A4" w:rsidRDefault="004907D1" w14:paraId="10AB0ABE"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Helicidae</w:t>
            </w:r>
            <w:proofErr w:type="spellEnd"/>
          </w:p>
        </w:tc>
      </w:tr>
      <w:tr w:rsidRPr="00FE15E3" w:rsidR="004907D1" w:rsidTr="00B769A4" w14:paraId="189EAD51" w14:textId="77777777">
        <w:trPr>
          <w:trHeight w:val="188"/>
          <w:jc w:val="center"/>
        </w:trPr>
        <w:tc>
          <w:tcPr>
            <w:tcW w:w="1906" w:type="dxa"/>
            <w:vAlign w:val="center"/>
          </w:tcPr>
          <w:p w:rsidRPr="00FE15E3" w:rsidR="004907D1" w:rsidP="00B769A4" w:rsidRDefault="004907D1" w14:paraId="69FBE2A4"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Cyprinus</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carpio</w:t>
            </w:r>
            <w:proofErr w:type="spellEnd"/>
          </w:p>
        </w:tc>
        <w:tc>
          <w:tcPr>
            <w:tcW w:w="1111" w:type="dxa"/>
            <w:vAlign w:val="center"/>
          </w:tcPr>
          <w:p w:rsidRPr="00FE15E3" w:rsidR="004907D1" w:rsidP="00B769A4" w:rsidRDefault="004907D1" w14:paraId="7F32A4DC"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54EB92B8"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Chordata</w:t>
            </w:r>
            <w:proofErr w:type="spellEnd"/>
          </w:p>
        </w:tc>
        <w:tc>
          <w:tcPr>
            <w:tcW w:w="1491" w:type="dxa"/>
            <w:vAlign w:val="center"/>
          </w:tcPr>
          <w:p w:rsidRPr="00FE15E3" w:rsidR="004907D1" w:rsidP="00B769A4" w:rsidRDefault="004907D1" w14:paraId="6C686DFD" w14:textId="05B407E0">
            <w:pPr>
              <w:autoSpaceDE w:val="0"/>
              <w:autoSpaceDN w:val="0"/>
              <w:adjustRightInd w:val="0"/>
              <w:jc w:val="center"/>
              <w:rPr>
                <w:rFonts w:eastAsia="Baskerville Old Face" w:cs="Baskerville Old Face"/>
                <w:sz w:val="20"/>
                <w:szCs w:val="20"/>
              </w:rPr>
            </w:pPr>
          </w:p>
        </w:tc>
        <w:tc>
          <w:tcPr>
            <w:tcW w:w="1417" w:type="dxa"/>
            <w:vAlign w:val="center"/>
          </w:tcPr>
          <w:p w:rsidRPr="00FE15E3" w:rsidR="004907D1" w:rsidP="00B769A4" w:rsidRDefault="004907D1" w14:paraId="7D50783F"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Cypriniformes</w:t>
            </w:r>
            <w:proofErr w:type="spellEnd"/>
          </w:p>
        </w:tc>
        <w:tc>
          <w:tcPr>
            <w:tcW w:w="1276" w:type="dxa"/>
            <w:vAlign w:val="center"/>
          </w:tcPr>
          <w:p w:rsidRPr="00FE15E3" w:rsidR="004907D1" w:rsidP="00B769A4" w:rsidRDefault="004907D1" w14:paraId="1321F41D"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Cyprinidae</w:t>
            </w:r>
            <w:proofErr w:type="spellEnd"/>
          </w:p>
        </w:tc>
      </w:tr>
      <w:tr w:rsidRPr="00FE15E3" w:rsidR="004907D1" w:rsidTr="00B769A4" w14:paraId="4596F929" w14:textId="77777777">
        <w:trPr>
          <w:trHeight w:val="377"/>
          <w:jc w:val="center"/>
        </w:trPr>
        <w:tc>
          <w:tcPr>
            <w:tcW w:w="1906" w:type="dxa"/>
            <w:vAlign w:val="center"/>
          </w:tcPr>
          <w:p w:rsidRPr="00FE15E3" w:rsidR="004907D1" w:rsidP="00B769A4" w:rsidRDefault="004907D1" w14:paraId="1A6BB96C" w14:textId="77777777">
            <w:pPr>
              <w:autoSpaceDE w:val="0"/>
              <w:autoSpaceDN w:val="0"/>
              <w:adjustRightInd w:val="0"/>
              <w:jc w:val="center"/>
              <w:rPr>
                <w:rFonts w:eastAsia="Baskerville Old Face" w:cs="Baskerville Old Face"/>
                <w:i/>
                <w:sz w:val="20"/>
                <w:szCs w:val="20"/>
              </w:rPr>
            </w:pPr>
            <w:r w:rsidRPr="00FE15E3">
              <w:rPr>
                <w:rFonts w:eastAsia="Baskerville Old Face" w:cs="Baskerville Old Face"/>
                <w:i/>
                <w:sz w:val="20"/>
                <w:szCs w:val="20"/>
                <w:lang w:eastAsia="es-CO"/>
              </w:rPr>
              <w:t xml:space="preserve">Genista </w:t>
            </w:r>
            <w:proofErr w:type="spellStart"/>
            <w:r w:rsidRPr="00FE15E3">
              <w:rPr>
                <w:rFonts w:eastAsia="Baskerville Old Face" w:cs="Baskerville Old Face"/>
                <w:i/>
                <w:sz w:val="20"/>
                <w:szCs w:val="20"/>
                <w:lang w:eastAsia="es-CO"/>
              </w:rPr>
              <w:t>monspessulana</w:t>
            </w:r>
            <w:proofErr w:type="spellEnd"/>
          </w:p>
        </w:tc>
        <w:tc>
          <w:tcPr>
            <w:tcW w:w="1111" w:type="dxa"/>
            <w:vAlign w:val="center"/>
          </w:tcPr>
          <w:p w:rsidRPr="00FE15E3" w:rsidR="004907D1" w:rsidP="00B769A4" w:rsidRDefault="004907D1" w14:paraId="31B5122B"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Plantae</w:t>
            </w:r>
            <w:proofErr w:type="spellEnd"/>
          </w:p>
        </w:tc>
        <w:tc>
          <w:tcPr>
            <w:tcW w:w="1588" w:type="dxa"/>
            <w:vAlign w:val="center"/>
          </w:tcPr>
          <w:p w:rsidRPr="00FE15E3" w:rsidR="004907D1" w:rsidP="00B769A4" w:rsidRDefault="004907D1" w14:paraId="0A86BC5D"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Tracheophyta</w:t>
            </w:r>
            <w:proofErr w:type="spellEnd"/>
          </w:p>
        </w:tc>
        <w:tc>
          <w:tcPr>
            <w:tcW w:w="1491" w:type="dxa"/>
            <w:vAlign w:val="center"/>
          </w:tcPr>
          <w:p w:rsidRPr="00FE15E3" w:rsidR="004907D1" w:rsidP="00B769A4" w:rsidRDefault="004907D1" w14:paraId="6DF4ECDC"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Magnoliopsida</w:t>
            </w:r>
            <w:proofErr w:type="spellEnd"/>
          </w:p>
        </w:tc>
        <w:tc>
          <w:tcPr>
            <w:tcW w:w="1417" w:type="dxa"/>
            <w:vAlign w:val="center"/>
          </w:tcPr>
          <w:p w:rsidRPr="00FE15E3" w:rsidR="004907D1" w:rsidP="00B769A4" w:rsidRDefault="004907D1" w14:paraId="682FB326"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Fabales</w:t>
            </w:r>
            <w:proofErr w:type="spellEnd"/>
          </w:p>
        </w:tc>
        <w:tc>
          <w:tcPr>
            <w:tcW w:w="1276" w:type="dxa"/>
            <w:vAlign w:val="center"/>
          </w:tcPr>
          <w:p w:rsidRPr="00FE15E3" w:rsidR="004907D1" w:rsidP="00B769A4" w:rsidRDefault="004907D1" w14:paraId="08F8A322"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Fabaceae</w:t>
            </w:r>
            <w:proofErr w:type="spellEnd"/>
          </w:p>
        </w:tc>
      </w:tr>
      <w:tr w:rsidRPr="00FE15E3" w:rsidR="004907D1" w:rsidTr="00B769A4" w14:paraId="344CC01A" w14:textId="77777777">
        <w:trPr>
          <w:trHeight w:val="366"/>
          <w:jc w:val="center"/>
        </w:trPr>
        <w:tc>
          <w:tcPr>
            <w:tcW w:w="1906" w:type="dxa"/>
            <w:vAlign w:val="center"/>
          </w:tcPr>
          <w:p w:rsidRPr="00FE15E3" w:rsidR="004907D1" w:rsidP="00B769A4" w:rsidRDefault="004907D1" w14:paraId="4BE1815F"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Lissachatina</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fulica</w:t>
            </w:r>
            <w:proofErr w:type="spellEnd"/>
          </w:p>
        </w:tc>
        <w:tc>
          <w:tcPr>
            <w:tcW w:w="1111" w:type="dxa"/>
            <w:vAlign w:val="center"/>
          </w:tcPr>
          <w:p w:rsidRPr="00FE15E3" w:rsidR="004907D1" w:rsidP="00B769A4" w:rsidRDefault="004907D1" w14:paraId="252CED6F"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479D7F95"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Mollusca</w:t>
            </w:r>
            <w:proofErr w:type="spellEnd"/>
          </w:p>
        </w:tc>
        <w:tc>
          <w:tcPr>
            <w:tcW w:w="1491" w:type="dxa"/>
            <w:vAlign w:val="center"/>
          </w:tcPr>
          <w:p w:rsidRPr="00FE15E3" w:rsidR="004907D1" w:rsidP="00B769A4" w:rsidRDefault="004907D1" w14:paraId="0034632E"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Gastropoda</w:t>
            </w:r>
            <w:proofErr w:type="spellEnd"/>
          </w:p>
        </w:tc>
        <w:tc>
          <w:tcPr>
            <w:tcW w:w="1417" w:type="dxa"/>
            <w:vAlign w:val="center"/>
          </w:tcPr>
          <w:p w:rsidRPr="00FE15E3" w:rsidR="004907D1" w:rsidP="00B769A4" w:rsidRDefault="004907D1" w14:paraId="74CD8C56"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Stylommatophora</w:t>
            </w:r>
            <w:proofErr w:type="spellEnd"/>
          </w:p>
        </w:tc>
        <w:tc>
          <w:tcPr>
            <w:tcW w:w="1276" w:type="dxa"/>
            <w:vAlign w:val="center"/>
          </w:tcPr>
          <w:p w:rsidRPr="00FE15E3" w:rsidR="004907D1" w:rsidP="00B769A4" w:rsidRDefault="004907D1" w14:paraId="0C8DBB07"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Achatinidae</w:t>
            </w:r>
            <w:proofErr w:type="spellEnd"/>
          </w:p>
        </w:tc>
      </w:tr>
      <w:tr w:rsidRPr="00FE15E3" w:rsidR="004907D1" w:rsidTr="00B769A4" w14:paraId="7E56CD85" w14:textId="77777777">
        <w:trPr>
          <w:trHeight w:val="377"/>
          <w:jc w:val="center"/>
        </w:trPr>
        <w:tc>
          <w:tcPr>
            <w:tcW w:w="1906" w:type="dxa"/>
            <w:vAlign w:val="center"/>
          </w:tcPr>
          <w:p w:rsidRPr="00FE15E3" w:rsidR="004907D1" w:rsidP="00B769A4" w:rsidRDefault="004907D1" w14:paraId="7F728700"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Lithobates</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catesbeianus</w:t>
            </w:r>
            <w:proofErr w:type="spellEnd"/>
          </w:p>
        </w:tc>
        <w:tc>
          <w:tcPr>
            <w:tcW w:w="1111" w:type="dxa"/>
            <w:vAlign w:val="center"/>
          </w:tcPr>
          <w:p w:rsidRPr="00FE15E3" w:rsidR="004907D1" w:rsidP="00B769A4" w:rsidRDefault="004907D1" w14:paraId="67B1F7DE"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317EFD01"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Chordata</w:t>
            </w:r>
            <w:proofErr w:type="spellEnd"/>
          </w:p>
        </w:tc>
        <w:tc>
          <w:tcPr>
            <w:tcW w:w="1491" w:type="dxa"/>
            <w:vAlign w:val="center"/>
          </w:tcPr>
          <w:p w:rsidRPr="00FE15E3" w:rsidR="004907D1" w:rsidP="00B769A4" w:rsidRDefault="004907D1" w14:paraId="6FBCE4C7"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Amphibia</w:t>
            </w:r>
            <w:proofErr w:type="spellEnd"/>
          </w:p>
        </w:tc>
        <w:tc>
          <w:tcPr>
            <w:tcW w:w="1417" w:type="dxa"/>
            <w:vAlign w:val="center"/>
          </w:tcPr>
          <w:p w:rsidRPr="00FE15E3" w:rsidR="004907D1" w:rsidP="00B769A4" w:rsidRDefault="004907D1" w14:paraId="3CA1A931"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Anura</w:t>
            </w:r>
          </w:p>
        </w:tc>
        <w:tc>
          <w:tcPr>
            <w:tcW w:w="1276" w:type="dxa"/>
            <w:vAlign w:val="center"/>
          </w:tcPr>
          <w:p w:rsidRPr="00FE15E3" w:rsidR="004907D1" w:rsidP="00B769A4" w:rsidRDefault="004907D1" w14:paraId="20E4A33B"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Ranidae</w:t>
            </w:r>
            <w:proofErr w:type="spellEnd"/>
          </w:p>
        </w:tc>
      </w:tr>
      <w:tr w:rsidRPr="00FE15E3" w:rsidR="004907D1" w:rsidTr="00B769A4" w14:paraId="7D48F281" w14:textId="77777777">
        <w:trPr>
          <w:trHeight w:val="377"/>
          <w:jc w:val="center"/>
        </w:trPr>
        <w:tc>
          <w:tcPr>
            <w:tcW w:w="1906" w:type="dxa"/>
            <w:vAlign w:val="center"/>
          </w:tcPr>
          <w:p w:rsidRPr="00FE15E3" w:rsidR="004907D1" w:rsidP="00B769A4" w:rsidRDefault="004907D1" w14:paraId="63176545"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Micropterus</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salmoides</w:t>
            </w:r>
            <w:proofErr w:type="spellEnd"/>
          </w:p>
        </w:tc>
        <w:tc>
          <w:tcPr>
            <w:tcW w:w="1111" w:type="dxa"/>
            <w:vAlign w:val="center"/>
          </w:tcPr>
          <w:p w:rsidRPr="00FE15E3" w:rsidR="004907D1" w:rsidP="00B769A4" w:rsidRDefault="004907D1" w14:paraId="1394EEF2"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539F7C73"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Chordata</w:t>
            </w:r>
            <w:proofErr w:type="spellEnd"/>
          </w:p>
        </w:tc>
        <w:tc>
          <w:tcPr>
            <w:tcW w:w="1491" w:type="dxa"/>
            <w:vAlign w:val="center"/>
          </w:tcPr>
          <w:p w:rsidRPr="00FE15E3" w:rsidR="004907D1" w:rsidP="00B769A4" w:rsidRDefault="004907D1" w14:paraId="28762D02" w14:textId="669EC150">
            <w:pPr>
              <w:autoSpaceDE w:val="0"/>
              <w:autoSpaceDN w:val="0"/>
              <w:adjustRightInd w:val="0"/>
              <w:jc w:val="center"/>
              <w:rPr>
                <w:rFonts w:eastAsia="Baskerville Old Face" w:cs="Baskerville Old Face"/>
                <w:sz w:val="20"/>
                <w:szCs w:val="20"/>
              </w:rPr>
            </w:pPr>
          </w:p>
        </w:tc>
        <w:tc>
          <w:tcPr>
            <w:tcW w:w="1417" w:type="dxa"/>
            <w:vAlign w:val="center"/>
          </w:tcPr>
          <w:p w:rsidRPr="00FE15E3" w:rsidR="004907D1" w:rsidP="00B769A4" w:rsidRDefault="004907D1" w14:paraId="58A96869"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Perciformes</w:t>
            </w:r>
          </w:p>
        </w:tc>
        <w:tc>
          <w:tcPr>
            <w:tcW w:w="1276" w:type="dxa"/>
            <w:vAlign w:val="center"/>
          </w:tcPr>
          <w:p w:rsidRPr="00FE15E3" w:rsidR="004907D1" w:rsidP="00B769A4" w:rsidRDefault="004907D1" w14:paraId="7617774E"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Centrarchidae</w:t>
            </w:r>
            <w:proofErr w:type="spellEnd"/>
          </w:p>
        </w:tc>
      </w:tr>
      <w:tr w:rsidRPr="00FE15E3" w:rsidR="004907D1" w:rsidTr="00B769A4" w14:paraId="145401DA" w14:textId="77777777">
        <w:trPr>
          <w:trHeight w:val="366"/>
          <w:jc w:val="center"/>
        </w:trPr>
        <w:tc>
          <w:tcPr>
            <w:tcW w:w="1906" w:type="dxa"/>
            <w:vAlign w:val="center"/>
          </w:tcPr>
          <w:p w:rsidRPr="00FE15E3" w:rsidR="004907D1" w:rsidP="00B769A4" w:rsidRDefault="004907D1" w14:paraId="728C32C6"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Oncorhynchus</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mykiss</w:t>
            </w:r>
            <w:proofErr w:type="spellEnd"/>
          </w:p>
        </w:tc>
        <w:tc>
          <w:tcPr>
            <w:tcW w:w="1111" w:type="dxa"/>
            <w:vAlign w:val="center"/>
          </w:tcPr>
          <w:p w:rsidRPr="00FE15E3" w:rsidR="004907D1" w:rsidP="00B769A4" w:rsidRDefault="004907D1" w14:paraId="0784D623"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0E17A81A"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Chordata</w:t>
            </w:r>
            <w:proofErr w:type="spellEnd"/>
          </w:p>
        </w:tc>
        <w:tc>
          <w:tcPr>
            <w:tcW w:w="1491" w:type="dxa"/>
            <w:vAlign w:val="center"/>
          </w:tcPr>
          <w:p w:rsidRPr="00FE15E3" w:rsidR="004907D1" w:rsidP="00B769A4" w:rsidRDefault="004907D1" w14:paraId="3C98A771" w14:textId="736B08F4">
            <w:pPr>
              <w:autoSpaceDE w:val="0"/>
              <w:autoSpaceDN w:val="0"/>
              <w:adjustRightInd w:val="0"/>
              <w:jc w:val="center"/>
              <w:rPr>
                <w:rFonts w:eastAsia="Baskerville Old Face" w:cs="Baskerville Old Face"/>
                <w:sz w:val="20"/>
                <w:szCs w:val="20"/>
              </w:rPr>
            </w:pPr>
          </w:p>
        </w:tc>
        <w:tc>
          <w:tcPr>
            <w:tcW w:w="1417" w:type="dxa"/>
            <w:vAlign w:val="center"/>
          </w:tcPr>
          <w:p w:rsidRPr="00FE15E3" w:rsidR="004907D1" w:rsidP="00B769A4" w:rsidRDefault="004907D1" w14:paraId="475C6428"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Salmoniformes</w:t>
            </w:r>
            <w:proofErr w:type="spellEnd"/>
          </w:p>
        </w:tc>
        <w:tc>
          <w:tcPr>
            <w:tcW w:w="1276" w:type="dxa"/>
            <w:vAlign w:val="center"/>
          </w:tcPr>
          <w:p w:rsidRPr="00FE15E3" w:rsidR="004907D1" w:rsidP="00B769A4" w:rsidRDefault="004907D1" w14:paraId="3E7B1EA9"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Salmonidae</w:t>
            </w:r>
            <w:proofErr w:type="spellEnd"/>
          </w:p>
        </w:tc>
      </w:tr>
      <w:tr w:rsidRPr="00FE15E3" w:rsidR="004907D1" w:rsidTr="00B769A4" w14:paraId="347DB6BE" w14:textId="77777777">
        <w:trPr>
          <w:trHeight w:val="377"/>
          <w:jc w:val="center"/>
        </w:trPr>
        <w:tc>
          <w:tcPr>
            <w:tcW w:w="1906" w:type="dxa"/>
            <w:vAlign w:val="center"/>
          </w:tcPr>
          <w:p w:rsidRPr="00FE15E3" w:rsidR="004907D1" w:rsidP="00B769A4" w:rsidRDefault="004907D1" w14:paraId="75D7D478"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Paulownia</w:t>
            </w:r>
            <w:proofErr w:type="spellEnd"/>
            <w:r w:rsidRPr="00FE15E3">
              <w:rPr>
                <w:rFonts w:eastAsia="Baskerville Old Face" w:cs="Baskerville Old Face"/>
                <w:i/>
                <w:sz w:val="20"/>
                <w:szCs w:val="20"/>
                <w:lang w:eastAsia="es-CO"/>
              </w:rPr>
              <w:t xml:space="preserve"> tomentosa</w:t>
            </w:r>
          </w:p>
        </w:tc>
        <w:tc>
          <w:tcPr>
            <w:tcW w:w="1111" w:type="dxa"/>
            <w:vAlign w:val="center"/>
          </w:tcPr>
          <w:p w:rsidRPr="00FE15E3" w:rsidR="004907D1" w:rsidP="00B769A4" w:rsidRDefault="004907D1" w14:paraId="73FEFC59"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Plantae</w:t>
            </w:r>
            <w:proofErr w:type="spellEnd"/>
          </w:p>
        </w:tc>
        <w:tc>
          <w:tcPr>
            <w:tcW w:w="1588" w:type="dxa"/>
            <w:vAlign w:val="center"/>
          </w:tcPr>
          <w:p w:rsidRPr="00FE15E3" w:rsidR="004907D1" w:rsidP="00B769A4" w:rsidRDefault="004907D1" w14:paraId="1823CCCF"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Tracheophyta</w:t>
            </w:r>
            <w:proofErr w:type="spellEnd"/>
          </w:p>
        </w:tc>
        <w:tc>
          <w:tcPr>
            <w:tcW w:w="1491" w:type="dxa"/>
            <w:vAlign w:val="center"/>
          </w:tcPr>
          <w:p w:rsidRPr="00FE15E3" w:rsidR="004907D1" w:rsidP="00B769A4" w:rsidRDefault="004907D1" w14:paraId="3074D906"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Magnoliopsida</w:t>
            </w:r>
            <w:proofErr w:type="spellEnd"/>
          </w:p>
        </w:tc>
        <w:tc>
          <w:tcPr>
            <w:tcW w:w="1417" w:type="dxa"/>
            <w:vAlign w:val="center"/>
          </w:tcPr>
          <w:p w:rsidRPr="00FE15E3" w:rsidR="004907D1" w:rsidP="00B769A4" w:rsidRDefault="004907D1" w14:paraId="0DB67B06"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Lamiales</w:t>
            </w:r>
            <w:proofErr w:type="spellEnd"/>
          </w:p>
        </w:tc>
        <w:tc>
          <w:tcPr>
            <w:tcW w:w="1276" w:type="dxa"/>
            <w:vAlign w:val="center"/>
          </w:tcPr>
          <w:p w:rsidRPr="00FE15E3" w:rsidR="004907D1" w:rsidP="00B769A4" w:rsidRDefault="004907D1" w14:paraId="2C9A3F5E"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Paulowniaceae</w:t>
            </w:r>
            <w:proofErr w:type="spellEnd"/>
          </w:p>
        </w:tc>
      </w:tr>
      <w:tr w:rsidRPr="00FE15E3" w:rsidR="004907D1" w:rsidTr="00B769A4" w14:paraId="75CBC704" w14:textId="77777777">
        <w:trPr>
          <w:trHeight w:val="377"/>
          <w:jc w:val="center"/>
        </w:trPr>
        <w:tc>
          <w:tcPr>
            <w:tcW w:w="1906" w:type="dxa"/>
            <w:vAlign w:val="center"/>
          </w:tcPr>
          <w:p w:rsidRPr="00FE15E3" w:rsidR="004907D1" w:rsidP="00B769A4" w:rsidRDefault="004907D1" w14:paraId="55D85656"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Pontederia</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crassipes</w:t>
            </w:r>
            <w:proofErr w:type="spellEnd"/>
          </w:p>
        </w:tc>
        <w:tc>
          <w:tcPr>
            <w:tcW w:w="1111" w:type="dxa"/>
            <w:vAlign w:val="center"/>
          </w:tcPr>
          <w:p w:rsidRPr="00FE15E3" w:rsidR="004907D1" w:rsidP="00B769A4" w:rsidRDefault="004907D1" w14:paraId="67750DBC"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Plantae</w:t>
            </w:r>
            <w:proofErr w:type="spellEnd"/>
          </w:p>
        </w:tc>
        <w:tc>
          <w:tcPr>
            <w:tcW w:w="1588" w:type="dxa"/>
            <w:vAlign w:val="center"/>
          </w:tcPr>
          <w:p w:rsidRPr="00FE15E3" w:rsidR="004907D1" w:rsidP="00B769A4" w:rsidRDefault="004907D1" w14:paraId="109CE61A"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Tracheophyta</w:t>
            </w:r>
            <w:proofErr w:type="spellEnd"/>
          </w:p>
        </w:tc>
        <w:tc>
          <w:tcPr>
            <w:tcW w:w="1491" w:type="dxa"/>
            <w:vAlign w:val="center"/>
          </w:tcPr>
          <w:p w:rsidRPr="00FE15E3" w:rsidR="004907D1" w:rsidP="00B769A4" w:rsidRDefault="004907D1" w14:paraId="6E343022"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Liliopsida</w:t>
            </w:r>
            <w:proofErr w:type="spellEnd"/>
          </w:p>
        </w:tc>
        <w:tc>
          <w:tcPr>
            <w:tcW w:w="1417" w:type="dxa"/>
            <w:vAlign w:val="center"/>
          </w:tcPr>
          <w:p w:rsidRPr="00FE15E3" w:rsidR="004907D1" w:rsidP="00B769A4" w:rsidRDefault="004907D1" w14:paraId="63278D7F"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Commelinales</w:t>
            </w:r>
            <w:proofErr w:type="spellEnd"/>
          </w:p>
        </w:tc>
        <w:tc>
          <w:tcPr>
            <w:tcW w:w="1276" w:type="dxa"/>
            <w:vAlign w:val="center"/>
          </w:tcPr>
          <w:p w:rsidRPr="00FE15E3" w:rsidR="004907D1" w:rsidP="00B769A4" w:rsidRDefault="004907D1" w14:paraId="7F6C38CB"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Pontederiaceae</w:t>
            </w:r>
            <w:proofErr w:type="spellEnd"/>
          </w:p>
        </w:tc>
      </w:tr>
      <w:tr w:rsidRPr="00FE15E3" w:rsidR="004907D1" w:rsidTr="00B769A4" w14:paraId="17883219" w14:textId="77777777">
        <w:trPr>
          <w:trHeight w:val="366"/>
          <w:jc w:val="center"/>
        </w:trPr>
        <w:tc>
          <w:tcPr>
            <w:tcW w:w="1906" w:type="dxa"/>
            <w:vAlign w:val="center"/>
          </w:tcPr>
          <w:p w:rsidRPr="00FE15E3" w:rsidR="004907D1" w:rsidP="00B769A4" w:rsidRDefault="004907D1" w14:paraId="259EEDA6"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Procambarus</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clarkii</w:t>
            </w:r>
            <w:proofErr w:type="spellEnd"/>
          </w:p>
        </w:tc>
        <w:tc>
          <w:tcPr>
            <w:tcW w:w="1111" w:type="dxa"/>
            <w:vAlign w:val="center"/>
          </w:tcPr>
          <w:p w:rsidRPr="00FE15E3" w:rsidR="004907D1" w:rsidP="00B769A4" w:rsidRDefault="004907D1" w14:paraId="5D0FC342" w14:textId="77777777">
            <w:pPr>
              <w:autoSpaceDE w:val="0"/>
              <w:autoSpaceDN w:val="0"/>
              <w:adjustRightInd w:val="0"/>
              <w:jc w:val="center"/>
              <w:rPr>
                <w:rFonts w:eastAsia="Baskerville Old Face" w:cs="Baskerville Old Face"/>
                <w:sz w:val="20"/>
                <w:szCs w:val="20"/>
              </w:rPr>
            </w:pPr>
            <w:r w:rsidRPr="00FE15E3">
              <w:rPr>
                <w:rFonts w:eastAsia="Baskerville Old Face" w:cs="Baskerville Old Face"/>
                <w:sz w:val="20"/>
                <w:szCs w:val="20"/>
                <w:lang w:eastAsia="es-CO"/>
              </w:rPr>
              <w:t>Animalia</w:t>
            </w:r>
          </w:p>
        </w:tc>
        <w:tc>
          <w:tcPr>
            <w:tcW w:w="1588" w:type="dxa"/>
            <w:vAlign w:val="center"/>
          </w:tcPr>
          <w:p w:rsidRPr="00FE15E3" w:rsidR="004907D1" w:rsidP="00B769A4" w:rsidRDefault="004907D1" w14:paraId="40C29F88"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Arthropoda</w:t>
            </w:r>
            <w:proofErr w:type="spellEnd"/>
          </w:p>
        </w:tc>
        <w:tc>
          <w:tcPr>
            <w:tcW w:w="1491" w:type="dxa"/>
            <w:vAlign w:val="center"/>
          </w:tcPr>
          <w:p w:rsidRPr="00FE15E3" w:rsidR="004907D1" w:rsidP="00B769A4" w:rsidRDefault="004907D1" w14:paraId="056EF51C"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Malacostraca</w:t>
            </w:r>
            <w:proofErr w:type="spellEnd"/>
          </w:p>
        </w:tc>
        <w:tc>
          <w:tcPr>
            <w:tcW w:w="1417" w:type="dxa"/>
            <w:vAlign w:val="center"/>
          </w:tcPr>
          <w:p w:rsidRPr="00FE15E3" w:rsidR="004907D1" w:rsidP="00B769A4" w:rsidRDefault="004907D1" w14:paraId="0CBDD857"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Decapoda</w:t>
            </w:r>
            <w:proofErr w:type="spellEnd"/>
          </w:p>
        </w:tc>
        <w:tc>
          <w:tcPr>
            <w:tcW w:w="1276" w:type="dxa"/>
            <w:vAlign w:val="center"/>
          </w:tcPr>
          <w:p w:rsidRPr="00FE15E3" w:rsidR="004907D1" w:rsidP="00B769A4" w:rsidRDefault="004907D1" w14:paraId="6A2138AD"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Cambaridae</w:t>
            </w:r>
            <w:proofErr w:type="spellEnd"/>
          </w:p>
        </w:tc>
      </w:tr>
      <w:tr w:rsidRPr="00FE15E3" w:rsidR="004907D1" w:rsidTr="00B769A4" w14:paraId="4271D4CC" w14:textId="77777777">
        <w:trPr>
          <w:trHeight w:val="188"/>
          <w:jc w:val="center"/>
        </w:trPr>
        <w:tc>
          <w:tcPr>
            <w:tcW w:w="1906" w:type="dxa"/>
            <w:vAlign w:val="center"/>
          </w:tcPr>
          <w:p w:rsidRPr="00FE15E3" w:rsidR="004907D1" w:rsidP="00B769A4" w:rsidRDefault="004907D1" w14:paraId="5EF6961D" w14:textId="77777777">
            <w:pPr>
              <w:autoSpaceDE w:val="0"/>
              <w:autoSpaceDN w:val="0"/>
              <w:adjustRightInd w:val="0"/>
              <w:jc w:val="center"/>
              <w:rPr>
                <w:rFonts w:eastAsia="Baskerville Old Face" w:cs="Baskerville Old Face"/>
                <w:i/>
                <w:sz w:val="20"/>
                <w:szCs w:val="20"/>
              </w:rPr>
            </w:pPr>
            <w:proofErr w:type="spellStart"/>
            <w:r w:rsidRPr="00FE15E3">
              <w:rPr>
                <w:rFonts w:eastAsia="Baskerville Old Face" w:cs="Baskerville Old Face"/>
                <w:i/>
                <w:sz w:val="20"/>
                <w:szCs w:val="20"/>
                <w:lang w:eastAsia="es-CO"/>
              </w:rPr>
              <w:t>Ulex</w:t>
            </w:r>
            <w:proofErr w:type="spellEnd"/>
            <w:r w:rsidRPr="00FE15E3">
              <w:rPr>
                <w:rFonts w:eastAsia="Baskerville Old Face" w:cs="Baskerville Old Face"/>
                <w:i/>
                <w:sz w:val="20"/>
                <w:szCs w:val="20"/>
                <w:lang w:eastAsia="es-CO"/>
              </w:rPr>
              <w:t xml:space="preserve"> </w:t>
            </w:r>
            <w:proofErr w:type="spellStart"/>
            <w:r w:rsidRPr="00FE15E3">
              <w:rPr>
                <w:rFonts w:eastAsia="Baskerville Old Face" w:cs="Baskerville Old Face"/>
                <w:i/>
                <w:sz w:val="20"/>
                <w:szCs w:val="20"/>
                <w:lang w:eastAsia="es-CO"/>
              </w:rPr>
              <w:t>europaeus</w:t>
            </w:r>
            <w:proofErr w:type="spellEnd"/>
          </w:p>
        </w:tc>
        <w:tc>
          <w:tcPr>
            <w:tcW w:w="1111" w:type="dxa"/>
            <w:vAlign w:val="center"/>
          </w:tcPr>
          <w:p w:rsidRPr="00FE15E3" w:rsidR="004907D1" w:rsidP="00B769A4" w:rsidRDefault="004907D1" w14:paraId="34E9B6BE"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Plantae</w:t>
            </w:r>
            <w:proofErr w:type="spellEnd"/>
          </w:p>
        </w:tc>
        <w:tc>
          <w:tcPr>
            <w:tcW w:w="1588" w:type="dxa"/>
            <w:vAlign w:val="center"/>
          </w:tcPr>
          <w:p w:rsidRPr="00FE15E3" w:rsidR="004907D1" w:rsidP="00B769A4" w:rsidRDefault="004907D1" w14:paraId="0514798F"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Tracheophyta</w:t>
            </w:r>
            <w:proofErr w:type="spellEnd"/>
          </w:p>
        </w:tc>
        <w:tc>
          <w:tcPr>
            <w:tcW w:w="1491" w:type="dxa"/>
            <w:vAlign w:val="center"/>
          </w:tcPr>
          <w:p w:rsidRPr="00FE15E3" w:rsidR="004907D1" w:rsidP="00B769A4" w:rsidRDefault="004907D1" w14:paraId="7D8810F4"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Magnoliopsida</w:t>
            </w:r>
            <w:proofErr w:type="spellEnd"/>
          </w:p>
        </w:tc>
        <w:tc>
          <w:tcPr>
            <w:tcW w:w="1417" w:type="dxa"/>
            <w:vAlign w:val="center"/>
          </w:tcPr>
          <w:p w:rsidRPr="00FE15E3" w:rsidR="004907D1" w:rsidP="00B769A4" w:rsidRDefault="004907D1" w14:paraId="67FF4EB5"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Fabales</w:t>
            </w:r>
            <w:proofErr w:type="spellEnd"/>
          </w:p>
        </w:tc>
        <w:tc>
          <w:tcPr>
            <w:tcW w:w="1276" w:type="dxa"/>
            <w:vAlign w:val="center"/>
          </w:tcPr>
          <w:p w:rsidRPr="00FE15E3" w:rsidR="004907D1" w:rsidP="00B769A4" w:rsidRDefault="004907D1" w14:paraId="487B6F83" w14:textId="77777777">
            <w:pPr>
              <w:autoSpaceDE w:val="0"/>
              <w:autoSpaceDN w:val="0"/>
              <w:adjustRightInd w:val="0"/>
              <w:jc w:val="center"/>
              <w:rPr>
                <w:rFonts w:eastAsia="Baskerville Old Face" w:cs="Baskerville Old Face"/>
                <w:sz w:val="20"/>
                <w:szCs w:val="20"/>
              </w:rPr>
            </w:pPr>
            <w:proofErr w:type="spellStart"/>
            <w:r w:rsidRPr="00FE15E3">
              <w:rPr>
                <w:rFonts w:eastAsia="Baskerville Old Face" w:cs="Baskerville Old Face"/>
                <w:sz w:val="20"/>
                <w:szCs w:val="20"/>
                <w:lang w:eastAsia="es-CO"/>
              </w:rPr>
              <w:t>Fabaceae</w:t>
            </w:r>
            <w:proofErr w:type="spellEnd"/>
          </w:p>
        </w:tc>
      </w:tr>
    </w:tbl>
    <w:p w:rsidRPr="00FE15E3" w:rsidR="004907D1" w:rsidP="004907D1" w:rsidRDefault="004907D1" w14:paraId="23FD78A4" w14:textId="77777777">
      <w:pPr>
        <w:jc w:val="center"/>
        <w:rPr>
          <w:rFonts w:cs="Arial"/>
          <w:sz w:val="20"/>
          <w:szCs w:val="20"/>
        </w:rPr>
      </w:pPr>
      <w:r w:rsidRPr="00FE15E3">
        <w:rPr>
          <w:rStyle w:val="FootnoteReference"/>
          <w:rFonts w:cs="Arial"/>
          <w:sz w:val="20"/>
          <w:szCs w:val="20"/>
        </w:rPr>
        <w:t xml:space="preserve">Fuente: </w:t>
      </w:r>
      <w:proofErr w:type="spellStart"/>
      <w:r w:rsidRPr="00FE15E3">
        <w:rPr>
          <w:rStyle w:val="FootnoteReference"/>
          <w:rFonts w:cs="Arial"/>
          <w:sz w:val="20"/>
          <w:szCs w:val="20"/>
        </w:rPr>
        <w:t>MinAmbiente</w:t>
      </w:r>
      <w:proofErr w:type="spellEnd"/>
      <w:r w:rsidRPr="00FE15E3">
        <w:rPr>
          <w:rStyle w:val="FootnoteReference"/>
          <w:rFonts w:cs="Arial"/>
          <w:sz w:val="20"/>
          <w:szCs w:val="20"/>
        </w:rPr>
        <w:t xml:space="preserve"> con información IAVH, 2024</w:t>
      </w:r>
    </w:p>
    <w:p w:rsidR="00E13E50" w:rsidP="009D04FC" w:rsidRDefault="009D04FC" w14:paraId="136340B6" w14:textId="4DFDC3D9">
      <w:pPr>
        <w:jc w:val="both"/>
        <w:rPr>
          <w:rFonts w:ascii="Garamond" w:hAnsi="Garamond"/>
          <w:sz w:val="22"/>
          <w:szCs w:val="22"/>
        </w:rPr>
      </w:pPr>
      <w:r w:rsidRPr="00D11C96">
        <w:rPr>
          <w:rFonts w:ascii="Garamond" w:hAnsi="Garamond"/>
          <w:sz w:val="22"/>
          <w:szCs w:val="22"/>
        </w:rPr>
        <w:t>Otros impactos de las especies invasoras, es que generan desplazamiento y disminución de poblaciones de especies nativas, pérdida de biodiversidad y reducción de hábitats; destacando el retamo espinoso (</w:t>
      </w:r>
      <w:proofErr w:type="spellStart"/>
      <w:r w:rsidRPr="00D11C96">
        <w:rPr>
          <w:rFonts w:ascii="Garamond" w:hAnsi="Garamond"/>
          <w:sz w:val="22"/>
          <w:szCs w:val="22"/>
        </w:rPr>
        <w:t>Ulex</w:t>
      </w:r>
      <w:proofErr w:type="spellEnd"/>
      <w:r w:rsidRPr="00D11C96">
        <w:rPr>
          <w:rFonts w:ascii="Garamond" w:hAnsi="Garamond"/>
          <w:sz w:val="22"/>
          <w:szCs w:val="22"/>
        </w:rPr>
        <w:t xml:space="preserve"> </w:t>
      </w:r>
      <w:proofErr w:type="spellStart"/>
      <w:r w:rsidRPr="00D11C96">
        <w:rPr>
          <w:rFonts w:ascii="Garamond" w:hAnsi="Garamond"/>
          <w:sz w:val="22"/>
          <w:szCs w:val="22"/>
        </w:rPr>
        <w:t>europaeus</w:t>
      </w:r>
      <w:proofErr w:type="spellEnd"/>
      <w:r w:rsidRPr="00D11C96">
        <w:rPr>
          <w:rFonts w:ascii="Garamond" w:hAnsi="Garamond"/>
          <w:sz w:val="22"/>
          <w:szCs w:val="22"/>
        </w:rPr>
        <w:t xml:space="preserve"> L) catalogado entre las 100 especies más invasoras del mundo, su invasión promueve la generación de incendios forestales, el desplazamiento de especies nativas y la formación de bancos de semillas con 60 años de latencia y una densidad de 120.000 semillas por cm2 ( (Rivera, 2015) (Beltrán, 2012) (Camelo, 2015)</w:t>
      </w:r>
      <w:r w:rsidR="00E13E50">
        <w:rPr>
          <w:rFonts w:ascii="Garamond" w:hAnsi="Garamond"/>
          <w:sz w:val="22"/>
          <w:szCs w:val="22"/>
        </w:rPr>
        <w:t>.</w:t>
      </w:r>
      <w:r w:rsidR="00514029">
        <w:rPr>
          <w:rFonts w:ascii="Garamond" w:hAnsi="Garamond"/>
          <w:sz w:val="22"/>
          <w:szCs w:val="22"/>
        </w:rPr>
        <w:t xml:space="preserve"> </w:t>
      </w:r>
      <w:r w:rsidR="00E13E50">
        <w:rPr>
          <w:rFonts w:ascii="Garamond" w:hAnsi="Garamond"/>
          <w:sz w:val="22"/>
          <w:szCs w:val="22"/>
        </w:rPr>
        <w:t xml:space="preserve">Según la Secretaria Distrital de Ambiente (2023), tan solo al interior de Bogotá, se encuentra </w:t>
      </w:r>
      <w:r w:rsidR="00024649">
        <w:rPr>
          <w:rFonts w:ascii="Garamond" w:hAnsi="Garamond"/>
          <w:sz w:val="22"/>
          <w:szCs w:val="22"/>
        </w:rPr>
        <w:t>más</w:t>
      </w:r>
      <w:r w:rsidR="00E13E50">
        <w:rPr>
          <w:rFonts w:ascii="Garamond" w:hAnsi="Garamond"/>
          <w:sz w:val="22"/>
          <w:szCs w:val="22"/>
        </w:rPr>
        <w:t xml:space="preserve"> de </w:t>
      </w:r>
      <w:r w:rsidR="00D91BA3">
        <w:rPr>
          <w:rFonts w:ascii="Garamond" w:hAnsi="Garamond"/>
          <w:sz w:val="22"/>
          <w:szCs w:val="22"/>
        </w:rPr>
        <w:t>5</w:t>
      </w:r>
      <w:r w:rsidR="00024649">
        <w:rPr>
          <w:rFonts w:ascii="Garamond" w:hAnsi="Garamond"/>
          <w:sz w:val="22"/>
          <w:szCs w:val="22"/>
        </w:rPr>
        <w:t>.</w:t>
      </w:r>
      <w:r w:rsidR="00D91BA3">
        <w:rPr>
          <w:rFonts w:ascii="Garamond" w:hAnsi="Garamond"/>
          <w:sz w:val="22"/>
          <w:szCs w:val="22"/>
        </w:rPr>
        <w:t>26</w:t>
      </w:r>
      <w:r w:rsidR="00024649">
        <w:rPr>
          <w:rFonts w:ascii="Garamond" w:hAnsi="Garamond"/>
          <w:sz w:val="22"/>
          <w:szCs w:val="22"/>
        </w:rPr>
        <w:t xml:space="preserve">2 </w:t>
      </w:r>
      <w:r w:rsidR="00D91BA3">
        <w:rPr>
          <w:rFonts w:ascii="Garamond" w:hAnsi="Garamond"/>
          <w:sz w:val="22"/>
          <w:szCs w:val="22"/>
        </w:rPr>
        <w:t xml:space="preserve">polígonos registrados con presencia de retamo espinoso. </w:t>
      </w:r>
    </w:p>
    <w:p w:rsidR="00FF34DC" w:rsidP="00FF34DC" w:rsidRDefault="00FF34DC" w14:paraId="592241CA" w14:textId="45F96C16">
      <w:pPr>
        <w:pStyle w:val="Caption"/>
        <w:keepNext/>
        <w:jc w:val="center"/>
      </w:pPr>
      <w:r>
        <w:t xml:space="preserve">Ilustración </w:t>
      </w:r>
      <w:r>
        <w:fldChar w:fldCharType="begin"/>
      </w:r>
      <w:r>
        <w:instrText xml:space="preserve"> SEQ Ilustración \* ARABIC </w:instrText>
      </w:r>
      <w:r>
        <w:fldChar w:fldCharType="separate"/>
      </w:r>
      <w:r>
        <w:rPr>
          <w:noProof/>
        </w:rPr>
        <w:t>8</w:t>
      </w:r>
      <w:r>
        <w:fldChar w:fldCharType="end"/>
      </w:r>
      <w:r>
        <w:t>. Presencia de Retamo Espinoso en Bogotá.</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5A0AA1" w:rsidTr="00E13E50" w14:paraId="2D2CA616" w14:textId="77777777">
        <w:tc>
          <w:tcPr>
            <w:tcW w:w="4675" w:type="dxa"/>
            <w:vAlign w:val="center"/>
          </w:tcPr>
          <w:p w:rsidR="005A0AA1" w:rsidP="00E13E50" w:rsidRDefault="005A0AA1" w14:paraId="085E1255" w14:textId="1B793AC8">
            <w:pPr>
              <w:jc w:val="center"/>
              <w:rPr>
                <w:rFonts w:ascii="Garamond" w:hAnsi="Garamond"/>
                <w:sz w:val="22"/>
                <w:szCs w:val="22"/>
              </w:rPr>
            </w:pPr>
            <w:r w:rsidRPr="005A0AA1">
              <w:rPr>
                <w:rFonts w:ascii="Garamond" w:hAnsi="Garamond"/>
                <w:noProof/>
                <w:sz w:val="22"/>
                <w:szCs w:val="22"/>
              </w:rPr>
              <w:drawing>
                <wp:inline distT="0" distB="0" distL="0" distR="0" wp14:anchorId="14D0D8CF" wp14:editId="58723212">
                  <wp:extent cx="2750820" cy="2986227"/>
                  <wp:effectExtent l="0" t="0" r="0" b="5080"/>
                  <wp:docPr id="89670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06168" name=""/>
                          <pic:cNvPicPr/>
                        </pic:nvPicPr>
                        <pic:blipFill>
                          <a:blip r:embed="rId21"/>
                          <a:stretch>
                            <a:fillRect/>
                          </a:stretch>
                        </pic:blipFill>
                        <pic:spPr>
                          <a:xfrm>
                            <a:off x="0" y="0"/>
                            <a:ext cx="2769737" cy="3006763"/>
                          </a:xfrm>
                          <a:prstGeom prst="rect">
                            <a:avLst/>
                          </a:prstGeom>
                        </pic:spPr>
                      </pic:pic>
                    </a:graphicData>
                  </a:graphic>
                </wp:inline>
              </w:drawing>
            </w:r>
          </w:p>
        </w:tc>
        <w:tc>
          <w:tcPr>
            <w:tcW w:w="4675" w:type="dxa"/>
            <w:vAlign w:val="center"/>
          </w:tcPr>
          <w:p w:rsidR="005A0AA1" w:rsidP="00E13E50" w:rsidRDefault="00E13E50" w14:paraId="1BF1FABB" w14:textId="48609794">
            <w:pPr>
              <w:jc w:val="center"/>
              <w:rPr>
                <w:rFonts w:ascii="Garamond" w:hAnsi="Garamond"/>
                <w:sz w:val="22"/>
                <w:szCs w:val="22"/>
              </w:rPr>
            </w:pPr>
            <w:r w:rsidRPr="00E13E50">
              <w:rPr>
                <w:rFonts w:ascii="Garamond" w:hAnsi="Garamond"/>
                <w:noProof/>
                <w:sz w:val="22"/>
                <w:szCs w:val="22"/>
              </w:rPr>
              <w:drawing>
                <wp:inline distT="0" distB="0" distL="0" distR="0" wp14:anchorId="3CA3E0BB" wp14:editId="34F2BE85">
                  <wp:extent cx="2552164" cy="2953803"/>
                  <wp:effectExtent l="0" t="0" r="635" b="0"/>
                  <wp:docPr id="20039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2043" name=""/>
                          <pic:cNvPicPr/>
                        </pic:nvPicPr>
                        <pic:blipFill>
                          <a:blip r:embed="rId22"/>
                          <a:stretch>
                            <a:fillRect/>
                          </a:stretch>
                        </pic:blipFill>
                        <pic:spPr>
                          <a:xfrm>
                            <a:off x="0" y="0"/>
                            <a:ext cx="2561252" cy="2964321"/>
                          </a:xfrm>
                          <a:prstGeom prst="rect">
                            <a:avLst/>
                          </a:prstGeom>
                        </pic:spPr>
                      </pic:pic>
                    </a:graphicData>
                  </a:graphic>
                </wp:inline>
              </w:drawing>
            </w:r>
          </w:p>
        </w:tc>
      </w:tr>
    </w:tbl>
    <w:p w:rsidR="00C07FE2" w:rsidP="00C07FE2" w:rsidRDefault="00C07FE2" w14:paraId="4C3493D2" w14:textId="0CE5EE6F">
      <w:pPr>
        <w:jc w:val="center"/>
        <w:rPr>
          <w:rFonts w:ascii="Garamond" w:hAnsi="Garamond"/>
          <w:sz w:val="22"/>
          <w:szCs w:val="22"/>
        </w:rPr>
      </w:pPr>
      <w:r w:rsidRPr="00D11C96">
        <w:rPr>
          <w:rFonts w:ascii="Garamond" w:hAnsi="Garamond" w:cs="Arial"/>
          <w:sz w:val="20"/>
          <w:szCs w:val="20"/>
        </w:rPr>
        <w:t>Fuente:</w:t>
      </w:r>
      <w:r>
        <w:rPr>
          <w:rFonts w:ascii="Garamond" w:hAnsi="Garamond" w:cs="Arial"/>
          <w:sz w:val="20"/>
          <w:szCs w:val="20"/>
        </w:rPr>
        <w:t xml:space="preserve"> </w:t>
      </w:r>
      <w:r>
        <w:rPr>
          <w:rFonts w:ascii="Garamond" w:hAnsi="Garamond" w:cs="Arial"/>
          <w:sz w:val="20"/>
          <w:szCs w:val="20"/>
        </w:rPr>
        <w:t>SDA</w:t>
      </w:r>
      <w:r>
        <w:rPr>
          <w:rFonts w:ascii="Garamond" w:hAnsi="Garamond" w:cs="Arial"/>
          <w:sz w:val="20"/>
          <w:szCs w:val="20"/>
        </w:rPr>
        <w:t xml:space="preserve"> (2025)</w:t>
      </w:r>
    </w:p>
    <w:p w:rsidR="009D04FC" w:rsidP="00D343F6" w:rsidRDefault="001336F6" w14:paraId="789A39BC" w14:textId="4119D5D2">
      <w:pPr>
        <w:jc w:val="both"/>
        <w:rPr>
          <w:rFonts w:ascii="Garamond" w:hAnsi="Garamond"/>
          <w:sz w:val="22"/>
          <w:szCs w:val="22"/>
        </w:rPr>
      </w:pPr>
      <w:r>
        <w:rPr>
          <w:rFonts w:ascii="Garamond" w:hAnsi="Garamond"/>
          <w:sz w:val="22"/>
          <w:szCs w:val="22"/>
        </w:rPr>
        <w:t xml:space="preserve">Otro de los escenarios a tener en cuenta y que contribuyen a la </w:t>
      </w:r>
      <w:r w:rsidR="00006AC9">
        <w:rPr>
          <w:rFonts w:ascii="Garamond" w:hAnsi="Garamond"/>
          <w:sz w:val="22"/>
          <w:szCs w:val="22"/>
        </w:rPr>
        <w:t>pérdida</w:t>
      </w:r>
      <w:r>
        <w:rPr>
          <w:rFonts w:ascii="Garamond" w:hAnsi="Garamond"/>
          <w:sz w:val="22"/>
          <w:szCs w:val="22"/>
        </w:rPr>
        <w:t xml:space="preserve"> </w:t>
      </w:r>
      <w:r w:rsidR="00F368D9">
        <w:rPr>
          <w:rFonts w:ascii="Garamond" w:hAnsi="Garamond"/>
          <w:sz w:val="22"/>
          <w:szCs w:val="22"/>
        </w:rPr>
        <w:t xml:space="preserve">de biodiversidad, son aquellas asociadas a </w:t>
      </w:r>
      <w:r w:rsidRPr="00D11C96" w:rsidR="009D04FC">
        <w:rPr>
          <w:rFonts w:ascii="Garamond" w:hAnsi="Garamond"/>
          <w:sz w:val="22"/>
          <w:szCs w:val="22"/>
        </w:rPr>
        <w:t>las colisiones de aves y murciélagos</w:t>
      </w:r>
      <w:r w:rsidR="00F368D9">
        <w:rPr>
          <w:rFonts w:ascii="Garamond" w:hAnsi="Garamond"/>
          <w:sz w:val="22"/>
          <w:szCs w:val="22"/>
        </w:rPr>
        <w:t xml:space="preserve">, sobre todo, </w:t>
      </w:r>
      <w:r w:rsidRPr="00D11C96" w:rsidR="009D04FC">
        <w:rPr>
          <w:rFonts w:ascii="Garamond" w:hAnsi="Garamond"/>
          <w:sz w:val="22"/>
          <w:szCs w:val="22"/>
        </w:rPr>
        <w:t xml:space="preserve">con edificaciones en entornos urbanos, se estima que entre el 50 y el 90% de las aves mueren después de un choque (City </w:t>
      </w:r>
      <w:proofErr w:type="spellStart"/>
      <w:r w:rsidRPr="00D11C96" w:rsidR="009D04FC">
        <w:rPr>
          <w:rFonts w:ascii="Garamond" w:hAnsi="Garamond"/>
          <w:sz w:val="22"/>
          <w:szCs w:val="22"/>
        </w:rPr>
        <w:t>of</w:t>
      </w:r>
      <w:proofErr w:type="spellEnd"/>
      <w:r w:rsidRPr="00D11C96" w:rsidR="009D04FC">
        <w:rPr>
          <w:rFonts w:ascii="Garamond" w:hAnsi="Garamond"/>
          <w:sz w:val="22"/>
          <w:szCs w:val="22"/>
        </w:rPr>
        <w:t xml:space="preserve"> Calgary, 2011). Por </w:t>
      </w:r>
      <w:r w:rsidRPr="00D11C96" w:rsidR="00527518">
        <w:rPr>
          <w:rFonts w:ascii="Garamond" w:hAnsi="Garamond"/>
          <w:sz w:val="22"/>
          <w:szCs w:val="22"/>
        </w:rPr>
        <w:t>tanto,</w:t>
      </w:r>
      <w:r w:rsidRPr="00D11C96" w:rsidR="009D04FC">
        <w:rPr>
          <w:rFonts w:ascii="Garamond" w:hAnsi="Garamond"/>
          <w:sz w:val="22"/>
          <w:szCs w:val="22"/>
        </w:rPr>
        <w:t xml:space="preserve"> es preciso que se tomen medidas para reducir el impacto de las edificaciones en la avifauna de la Sabana de Bogotá.</w:t>
      </w:r>
    </w:p>
    <w:p w:rsidRPr="00D11C96" w:rsidR="000D2BE9" w:rsidP="002741E2" w:rsidRDefault="00BC04DC" w14:paraId="23EB98FC" w14:textId="401C55B9">
      <w:pPr>
        <w:jc w:val="both"/>
        <w:rPr>
          <w:rFonts w:ascii="Garamond" w:hAnsi="Garamond"/>
          <w:sz w:val="22"/>
          <w:szCs w:val="22"/>
        </w:rPr>
      </w:pPr>
      <w:r>
        <w:rPr>
          <w:rFonts w:ascii="Garamond" w:hAnsi="Garamond"/>
          <w:sz w:val="22"/>
          <w:szCs w:val="22"/>
        </w:rPr>
        <w:t xml:space="preserve">Según </w:t>
      </w:r>
      <w:r w:rsidR="009B7AB4">
        <w:rPr>
          <w:rFonts w:ascii="Garamond" w:hAnsi="Garamond"/>
          <w:sz w:val="22"/>
          <w:szCs w:val="22"/>
        </w:rPr>
        <w:t xml:space="preserve">la </w:t>
      </w:r>
      <w:r w:rsidRPr="00BC04DC">
        <w:rPr>
          <w:rFonts w:ascii="Garamond" w:hAnsi="Garamond"/>
          <w:sz w:val="22"/>
          <w:szCs w:val="22"/>
        </w:rPr>
        <w:t>Red de Colisión de Aves</w:t>
      </w:r>
      <w:r w:rsidR="009B7AB4">
        <w:rPr>
          <w:rFonts w:ascii="Garamond" w:hAnsi="Garamond"/>
          <w:sz w:val="22"/>
          <w:szCs w:val="22"/>
        </w:rPr>
        <w:t xml:space="preserve">, </w:t>
      </w:r>
      <w:r w:rsidRPr="00BC04DC" w:rsidR="009B7AB4">
        <w:rPr>
          <w:rFonts w:ascii="Garamond" w:hAnsi="Garamond"/>
          <w:sz w:val="22"/>
          <w:szCs w:val="22"/>
        </w:rPr>
        <w:t>REBECA</w:t>
      </w:r>
      <w:r w:rsidR="00065DCA">
        <w:rPr>
          <w:rFonts w:ascii="Garamond" w:hAnsi="Garamond"/>
          <w:sz w:val="22"/>
          <w:szCs w:val="22"/>
        </w:rPr>
        <w:t xml:space="preserve"> </w:t>
      </w:r>
      <w:r w:rsidRPr="00BC04DC">
        <w:rPr>
          <w:rFonts w:ascii="Garamond" w:hAnsi="Garamond"/>
          <w:sz w:val="22"/>
          <w:szCs w:val="22"/>
        </w:rPr>
        <w:t>(2024).</w:t>
      </w:r>
      <w:r w:rsidR="009B7AB4">
        <w:rPr>
          <w:rFonts w:ascii="Garamond" w:hAnsi="Garamond"/>
          <w:sz w:val="22"/>
          <w:szCs w:val="22"/>
        </w:rPr>
        <w:t xml:space="preserve"> </w:t>
      </w:r>
      <w:r w:rsidR="00065DCA">
        <w:rPr>
          <w:rFonts w:ascii="Garamond" w:hAnsi="Garamond"/>
          <w:sz w:val="22"/>
          <w:szCs w:val="22"/>
        </w:rPr>
        <w:t xml:space="preserve">Durante el año 2024 </w:t>
      </w:r>
      <w:r w:rsidR="00D6385B">
        <w:rPr>
          <w:rFonts w:ascii="Garamond" w:hAnsi="Garamond"/>
          <w:sz w:val="22"/>
          <w:szCs w:val="22"/>
        </w:rPr>
        <w:t xml:space="preserve">y parte del 2025 se reportaron </w:t>
      </w:r>
      <w:r w:rsidR="000215D0">
        <w:rPr>
          <w:rFonts w:ascii="Garamond" w:hAnsi="Garamond"/>
          <w:sz w:val="22"/>
          <w:szCs w:val="22"/>
        </w:rPr>
        <w:t xml:space="preserve">127 colisiones de aves, de las cuales el 91% se concentran en Bogotá y el restante en municipios de </w:t>
      </w:r>
      <w:r w:rsidRPr="002741E2" w:rsidR="002741E2">
        <w:rPr>
          <w:rFonts w:ascii="Garamond" w:hAnsi="Garamond"/>
          <w:sz w:val="22"/>
          <w:szCs w:val="22"/>
        </w:rPr>
        <w:t>Chía</w:t>
      </w:r>
      <w:r w:rsidR="002741E2">
        <w:rPr>
          <w:rFonts w:ascii="Garamond" w:hAnsi="Garamond"/>
          <w:sz w:val="22"/>
          <w:szCs w:val="22"/>
        </w:rPr>
        <w:t xml:space="preserve">, </w:t>
      </w:r>
      <w:r w:rsidRPr="002741E2" w:rsidR="002741E2">
        <w:rPr>
          <w:rFonts w:ascii="Garamond" w:hAnsi="Garamond"/>
          <w:sz w:val="22"/>
          <w:szCs w:val="22"/>
        </w:rPr>
        <w:t>Guasca</w:t>
      </w:r>
      <w:r w:rsidR="002741E2">
        <w:rPr>
          <w:rFonts w:ascii="Garamond" w:hAnsi="Garamond"/>
          <w:sz w:val="22"/>
          <w:szCs w:val="22"/>
        </w:rPr>
        <w:t xml:space="preserve">, </w:t>
      </w:r>
      <w:r w:rsidRPr="002741E2" w:rsidR="002741E2">
        <w:rPr>
          <w:rFonts w:ascii="Garamond" w:hAnsi="Garamond"/>
          <w:sz w:val="22"/>
          <w:szCs w:val="22"/>
        </w:rPr>
        <w:t>La Calera</w:t>
      </w:r>
      <w:r w:rsidR="002741E2">
        <w:rPr>
          <w:rFonts w:ascii="Garamond" w:hAnsi="Garamond"/>
          <w:sz w:val="22"/>
          <w:szCs w:val="22"/>
        </w:rPr>
        <w:t xml:space="preserve">, </w:t>
      </w:r>
      <w:r w:rsidRPr="002741E2" w:rsidR="002741E2">
        <w:rPr>
          <w:rFonts w:ascii="Garamond" w:hAnsi="Garamond"/>
          <w:sz w:val="22"/>
          <w:szCs w:val="22"/>
        </w:rPr>
        <w:t>Madrid</w:t>
      </w:r>
      <w:r w:rsidR="002741E2">
        <w:rPr>
          <w:rFonts w:ascii="Garamond" w:hAnsi="Garamond"/>
          <w:sz w:val="22"/>
          <w:szCs w:val="22"/>
        </w:rPr>
        <w:t xml:space="preserve">, </w:t>
      </w:r>
      <w:r w:rsidRPr="002741E2" w:rsidR="002741E2">
        <w:rPr>
          <w:rFonts w:ascii="Garamond" w:hAnsi="Garamond"/>
          <w:sz w:val="22"/>
          <w:szCs w:val="22"/>
        </w:rPr>
        <w:t>Mosquera</w:t>
      </w:r>
      <w:r w:rsidR="002741E2">
        <w:rPr>
          <w:rFonts w:ascii="Garamond" w:hAnsi="Garamond"/>
          <w:sz w:val="22"/>
          <w:szCs w:val="22"/>
        </w:rPr>
        <w:t xml:space="preserve">, </w:t>
      </w:r>
      <w:r w:rsidRPr="002741E2" w:rsidR="002741E2">
        <w:rPr>
          <w:rFonts w:ascii="Garamond" w:hAnsi="Garamond"/>
          <w:sz w:val="22"/>
          <w:szCs w:val="22"/>
        </w:rPr>
        <w:t>Soacha</w:t>
      </w:r>
      <w:r w:rsidR="002741E2">
        <w:rPr>
          <w:rFonts w:ascii="Garamond" w:hAnsi="Garamond"/>
          <w:sz w:val="22"/>
          <w:szCs w:val="22"/>
        </w:rPr>
        <w:t xml:space="preserve">, </w:t>
      </w:r>
      <w:r w:rsidRPr="002741E2" w:rsidR="002741E2">
        <w:rPr>
          <w:rFonts w:ascii="Garamond" w:hAnsi="Garamond"/>
          <w:sz w:val="22"/>
          <w:szCs w:val="22"/>
        </w:rPr>
        <w:t>Sopó</w:t>
      </w:r>
      <w:r w:rsidR="002741E2">
        <w:rPr>
          <w:rFonts w:ascii="Garamond" w:hAnsi="Garamond"/>
          <w:sz w:val="22"/>
          <w:szCs w:val="22"/>
        </w:rPr>
        <w:t xml:space="preserve">, </w:t>
      </w:r>
      <w:r w:rsidRPr="002741E2" w:rsidR="002741E2">
        <w:rPr>
          <w:rFonts w:ascii="Garamond" w:hAnsi="Garamond"/>
          <w:sz w:val="22"/>
          <w:szCs w:val="22"/>
        </w:rPr>
        <w:t>Tenjo</w:t>
      </w:r>
      <w:r w:rsidR="002741E2">
        <w:rPr>
          <w:rFonts w:ascii="Garamond" w:hAnsi="Garamond"/>
          <w:sz w:val="22"/>
          <w:szCs w:val="22"/>
        </w:rPr>
        <w:t xml:space="preserve"> y</w:t>
      </w:r>
      <w:r w:rsidR="0070288E">
        <w:rPr>
          <w:rFonts w:ascii="Garamond" w:hAnsi="Garamond"/>
          <w:sz w:val="22"/>
          <w:szCs w:val="22"/>
        </w:rPr>
        <w:t xml:space="preserve"> </w:t>
      </w:r>
      <w:r w:rsidRPr="002741E2" w:rsidR="002741E2">
        <w:rPr>
          <w:rFonts w:ascii="Garamond" w:hAnsi="Garamond"/>
          <w:sz w:val="22"/>
          <w:szCs w:val="22"/>
        </w:rPr>
        <w:t>Tocancipá</w:t>
      </w:r>
      <w:r w:rsidR="0096137C">
        <w:rPr>
          <w:rFonts w:ascii="Garamond" w:hAnsi="Garamond"/>
          <w:sz w:val="22"/>
          <w:szCs w:val="22"/>
        </w:rPr>
        <w:t>, donde especies como</w:t>
      </w:r>
      <w:r w:rsidR="002741E2">
        <w:rPr>
          <w:rFonts w:ascii="Garamond" w:hAnsi="Garamond"/>
          <w:sz w:val="22"/>
          <w:szCs w:val="22"/>
        </w:rPr>
        <w:t xml:space="preserve"> </w:t>
      </w:r>
      <w:proofErr w:type="spellStart"/>
      <w:r w:rsidRPr="0096137C" w:rsidR="0096137C">
        <w:rPr>
          <w:rFonts w:ascii="Garamond" w:hAnsi="Garamond"/>
          <w:sz w:val="22"/>
          <w:szCs w:val="22"/>
        </w:rPr>
        <w:t>Catharus</w:t>
      </w:r>
      <w:proofErr w:type="spellEnd"/>
      <w:r w:rsidRPr="0096137C" w:rsidR="0096137C">
        <w:rPr>
          <w:rFonts w:ascii="Garamond" w:hAnsi="Garamond"/>
          <w:sz w:val="22"/>
          <w:szCs w:val="22"/>
        </w:rPr>
        <w:t xml:space="preserve"> </w:t>
      </w:r>
      <w:proofErr w:type="spellStart"/>
      <w:r w:rsidRPr="0096137C" w:rsidR="0096137C">
        <w:rPr>
          <w:rFonts w:ascii="Garamond" w:hAnsi="Garamond"/>
          <w:sz w:val="22"/>
          <w:szCs w:val="22"/>
        </w:rPr>
        <w:t>ustulatus</w:t>
      </w:r>
      <w:proofErr w:type="spellEnd"/>
      <w:r w:rsidR="0096137C">
        <w:rPr>
          <w:rFonts w:ascii="Garamond" w:hAnsi="Garamond"/>
          <w:sz w:val="22"/>
          <w:szCs w:val="22"/>
        </w:rPr>
        <w:t xml:space="preserve">, </w:t>
      </w:r>
      <w:proofErr w:type="spellStart"/>
      <w:r w:rsidRPr="0096137C" w:rsidR="0096137C">
        <w:rPr>
          <w:rFonts w:ascii="Garamond" w:hAnsi="Garamond"/>
          <w:sz w:val="22"/>
          <w:szCs w:val="22"/>
        </w:rPr>
        <w:t>Coccyzus</w:t>
      </w:r>
      <w:proofErr w:type="spellEnd"/>
      <w:r w:rsidRPr="0096137C" w:rsidR="0096137C">
        <w:rPr>
          <w:rFonts w:ascii="Garamond" w:hAnsi="Garamond"/>
          <w:sz w:val="22"/>
          <w:szCs w:val="22"/>
        </w:rPr>
        <w:t xml:space="preserve"> </w:t>
      </w:r>
      <w:proofErr w:type="spellStart"/>
      <w:r w:rsidRPr="0096137C" w:rsidR="0096137C">
        <w:rPr>
          <w:rFonts w:ascii="Garamond" w:hAnsi="Garamond"/>
          <w:sz w:val="22"/>
          <w:szCs w:val="22"/>
        </w:rPr>
        <w:t>americanus</w:t>
      </w:r>
      <w:proofErr w:type="spellEnd"/>
      <w:r w:rsidR="0096137C">
        <w:rPr>
          <w:rFonts w:ascii="Garamond" w:hAnsi="Garamond"/>
          <w:sz w:val="22"/>
          <w:szCs w:val="22"/>
        </w:rPr>
        <w:t xml:space="preserve">, </w:t>
      </w:r>
      <w:proofErr w:type="spellStart"/>
      <w:r w:rsidRPr="0096137C" w:rsidR="0096137C">
        <w:rPr>
          <w:rFonts w:ascii="Garamond" w:hAnsi="Garamond"/>
          <w:sz w:val="22"/>
          <w:szCs w:val="22"/>
        </w:rPr>
        <w:t>Piranga</w:t>
      </w:r>
      <w:proofErr w:type="spellEnd"/>
      <w:r w:rsidRPr="0096137C" w:rsidR="0096137C">
        <w:rPr>
          <w:rFonts w:ascii="Garamond" w:hAnsi="Garamond"/>
          <w:sz w:val="22"/>
          <w:szCs w:val="22"/>
        </w:rPr>
        <w:t xml:space="preserve"> rubra</w:t>
      </w:r>
      <w:r w:rsidR="0096137C">
        <w:rPr>
          <w:rFonts w:ascii="Garamond" w:hAnsi="Garamond"/>
          <w:sz w:val="22"/>
          <w:szCs w:val="22"/>
        </w:rPr>
        <w:t xml:space="preserve">, </w:t>
      </w:r>
      <w:proofErr w:type="spellStart"/>
      <w:r w:rsidRPr="0096137C" w:rsidR="0096137C">
        <w:rPr>
          <w:rFonts w:ascii="Garamond" w:hAnsi="Garamond"/>
          <w:sz w:val="22"/>
          <w:szCs w:val="22"/>
        </w:rPr>
        <w:t>Porphyrio</w:t>
      </w:r>
      <w:proofErr w:type="spellEnd"/>
      <w:r w:rsidRPr="0096137C" w:rsidR="0096137C">
        <w:rPr>
          <w:rFonts w:ascii="Garamond" w:hAnsi="Garamond"/>
          <w:sz w:val="22"/>
          <w:szCs w:val="22"/>
        </w:rPr>
        <w:t xml:space="preserve"> </w:t>
      </w:r>
      <w:proofErr w:type="spellStart"/>
      <w:r w:rsidRPr="0096137C" w:rsidR="0096137C">
        <w:rPr>
          <w:rFonts w:ascii="Garamond" w:hAnsi="Garamond"/>
          <w:sz w:val="22"/>
          <w:szCs w:val="22"/>
        </w:rPr>
        <w:t>martinica</w:t>
      </w:r>
      <w:proofErr w:type="spellEnd"/>
      <w:r w:rsidR="0096137C">
        <w:rPr>
          <w:rFonts w:ascii="Garamond" w:hAnsi="Garamond"/>
          <w:sz w:val="22"/>
          <w:szCs w:val="22"/>
        </w:rPr>
        <w:t xml:space="preserve"> y </w:t>
      </w:r>
      <w:proofErr w:type="spellStart"/>
      <w:r w:rsidRPr="0096137C" w:rsidR="0096137C">
        <w:rPr>
          <w:rFonts w:ascii="Garamond" w:hAnsi="Garamond"/>
          <w:sz w:val="22"/>
          <w:szCs w:val="22"/>
        </w:rPr>
        <w:t>Vireo</w:t>
      </w:r>
      <w:proofErr w:type="spellEnd"/>
      <w:r w:rsidRPr="0096137C" w:rsidR="0096137C">
        <w:rPr>
          <w:rFonts w:ascii="Garamond" w:hAnsi="Garamond"/>
          <w:sz w:val="22"/>
          <w:szCs w:val="22"/>
        </w:rPr>
        <w:t xml:space="preserve"> </w:t>
      </w:r>
      <w:proofErr w:type="spellStart"/>
      <w:r w:rsidRPr="0096137C" w:rsidR="0096137C">
        <w:rPr>
          <w:rFonts w:ascii="Garamond" w:hAnsi="Garamond"/>
          <w:sz w:val="22"/>
          <w:szCs w:val="22"/>
        </w:rPr>
        <w:t>olivaceus</w:t>
      </w:r>
      <w:proofErr w:type="spellEnd"/>
      <w:r w:rsidR="0096137C">
        <w:rPr>
          <w:rFonts w:ascii="Garamond" w:hAnsi="Garamond"/>
          <w:sz w:val="22"/>
          <w:szCs w:val="22"/>
        </w:rPr>
        <w:t xml:space="preserve"> fueron de las </w:t>
      </w:r>
      <w:r w:rsidR="00527518">
        <w:rPr>
          <w:rFonts w:ascii="Garamond" w:hAnsi="Garamond"/>
          <w:sz w:val="22"/>
          <w:szCs w:val="22"/>
        </w:rPr>
        <w:t>más</w:t>
      </w:r>
      <w:r w:rsidR="0096137C">
        <w:rPr>
          <w:rFonts w:ascii="Garamond" w:hAnsi="Garamond"/>
          <w:sz w:val="22"/>
          <w:szCs w:val="22"/>
        </w:rPr>
        <w:t xml:space="preserve"> afectadas.</w:t>
      </w:r>
      <w:r w:rsidR="00F368D9">
        <w:rPr>
          <w:rFonts w:ascii="Garamond" w:hAnsi="Garamond"/>
          <w:sz w:val="22"/>
          <w:szCs w:val="22"/>
        </w:rPr>
        <w:t xml:space="preserve"> </w:t>
      </w:r>
      <w:r w:rsidR="002741E2">
        <w:rPr>
          <w:rFonts w:ascii="Garamond" w:hAnsi="Garamond"/>
          <w:sz w:val="22"/>
          <w:szCs w:val="22"/>
        </w:rPr>
        <w:t xml:space="preserve">Si bien esta información implica un subregistro </w:t>
      </w:r>
      <w:r w:rsidR="0070288E">
        <w:rPr>
          <w:rFonts w:ascii="Garamond" w:hAnsi="Garamond"/>
          <w:sz w:val="22"/>
          <w:szCs w:val="22"/>
        </w:rPr>
        <w:t xml:space="preserve">frente a la realidad, </w:t>
      </w:r>
      <w:r w:rsidR="00B86EAD">
        <w:rPr>
          <w:rFonts w:ascii="Garamond" w:hAnsi="Garamond"/>
          <w:sz w:val="22"/>
          <w:szCs w:val="22"/>
        </w:rPr>
        <w:t xml:space="preserve">si </w:t>
      </w:r>
      <w:r w:rsidR="000D2BE9">
        <w:rPr>
          <w:rFonts w:ascii="Garamond" w:hAnsi="Garamond"/>
          <w:sz w:val="22"/>
          <w:szCs w:val="22"/>
        </w:rPr>
        <w:t>propone una tendencia a considerar</w:t>
      </w:r>
      <w:r w:rsidR="003C3CAD">
        <w:rPr>
          <w:rFonts w:ascii="Garamond" w:hAnsi="Garamond"/>
          <w:sz w:val="22"/>
          <w:szCs w:val="22"/>
        </w:rPr>
        <w:t>, sobre todo en</w:t>
      </w:r>
      <w:r w:rsidR="009D497A">
        <w:rPr>
          <w:rFonts w:ascii="Garamond" w:hAnsi="Garamond"/>
          <w:sz w:val="22"/>
          <w:szCs w:val="22"/>
        </w:rPr>
        <w:t xml:space="preserve"> las</w:t>
      </w:r>
      <w:r w:rsidR="003C3CAD">
        <w:rPr>
          <w:rFonts w:ascii="Garamond" w:hAnsi="Garamond"/>
          <w:sz w:val="22"/>
          <w:szCs w:val="22"/>
        </w:rPr>
        <w:t xml:space="preserve"> urbes de la Sabana de Bogotá.</w:t>
      </w:r>
    </w:p>
    <w:p w:rsidRPr="00D11C96" w:rsidR="00A470AD" w:rsidP="00A470AD" w:rsidRDefault="00A470AD" w14:paraId="3B87DF49" w14:textId="77777777">
      <w:pPr>
        <w:jc w:val="both"/>
        <w:rPr>
          <w:rFonts w:ascii="Garamond" w:hAnsi="Garamond"/>
          <w:sz w:val="22"/>
          <w:szCs w:val="22"/>
        </w:rPr>
      </w:pPr>
      <w:r w:rsidRPr="00D11C96">
        <w:rPr>
          <w:rFonts w:ascii="Garamond" w:hAnsi="Garamond"/>
          <w:sz w:val="22"/>
          <w:szCs w:val="22"/>
        </w:rPr>
        <w:t xml:space="preserve">La salud de los ecosistemas permite garantizar la prestación de servicios ecosistémicos, parte de la motivación de la generación de los lineamientos de la Sabana es orientar acciones que permitan armonizar la decisiones de ordenamiento y priorizar acciones sobre ecosistemas estratégicos como lo son los páramos, los bosques altoandinos, la subxerofitia andina, los humedales, todos claves en la sostenibilidad de la región, porque estos ecosistemas son fundamentales en la oferta y regulación hídrica, la regulación climática, el control de erosión y la prevención de eventos de inundaciones, avenidas torrenciales y deslizamientos. </w:t>
      </w:r>
    </w:p>
    <w:p w:rsidRPr="00D11C96" w:rsidR="00A470AD" w:rsidP="00D343F6" w:rsidRDefault="00A470AD" w14:paraId="3456ABFF" w14:textId="65B0906B">
      <w:pPr>
        <w:jc w:val="both"/>
        <w:rPr>
          <w:rFonts w:ascii="Garamond" w:hAnsi="Garamond"/>
          <w:sz w:val="22"/>
          <w:szCs w:val="22"/>
        </w:rPr>
      </w:pPr>
      <w:r w:rsidRPr="00D11C96">
        <w:rPr>
          <w:rFonts w:ascii="Garamond" w:hAnsi="Garamond"/>
          <w:sz w:val="22"/>
          <w:szCs w:val="22"/>
        </w:rPr>
        <w:t xml:space="preserve">Los lineamientos </w:t>
      </w:r>
      <w:r w:rsidR="00C761BC">
        <w:rPr>
          <w:rFonts w:ascii="Garamond" w:hAnsi="Garamond"/>
          <w:sz w:val="22"/>
          <w:szCs w:val="22"/>
        </w:rPr>
        <w:t>le apuntan a</w:t>
      </w:r>
      <w:r w:rsidRPr="00D11C96">
        <w:rPr>
          <w:rFonts w:ascii="Garamond" w:hAnsi="Garamond"/>
          <w:sz w:val="22"/>
          <w:szCs w:val="22"/>
        </w:rPr>
        <w:t xml:space="preserve"> tener un efecto positivo en la conservación de la biodiversidad, la protección del agua y la restauración de ecosistemas, ya que la conservación de ecosistemas de alta fragilidad y de especies emblemáticas y en riesgo de extinción, genera costos evitados tanto a las autoridades ambientales, los entes territoriales en materia de control de erosión, atención de emergencias, reducción de enfermedades respiratorias y gastrointestinales como consecuencia del material particulado y el consumo de agua no potable, desabastecimiento hídrico y reducción de la calidad de vida de los habitantes de la Sabana de Bogotá.</w:t>
      </w:r>
    </w:p>
    <w:p w:rsidRPr="00D11C96" w:rsidR="009D04FC" w:rsidP="00D343F6" w:rsidRDefault="009D04FC" w14:paraId="51D0DF73" w14:textId="0E187C66">
      <w:pPr>
        <w:jc w:val="both"/>
        <w:rPr>
          <w:rFonts w:ascii="Garamond" w:hAnsi="Garamond"/>
          <w:b/>
          <w:bCs/>
          <w:sz w:val="28"/>
          <w:szCs w:val="28"/>
        </w:rPr>
      </w:pPr>
      <w:r w:rsidRPr="00D11C96">
        <w:rPr>
          <w:rFonts w:ascii="Garamond" w:hAnsi="Garamond"/>
          <w:b/>
          <w:bCs/>
          <w:sz w:val="28"/>
          <w:szCs w:val="28"/>
        </w:rPr>
        <w:t>4. Alteración del ciclo del agua: afectación de beneficios de la naturaleza y del acceso con justicia ambiental.</w:t>
      </w:r>
    </w:p>
    <w:p w:rsidRPr="00D11C96" w:rsidR="000C4708" w:rsidP="00D343F6" w:rsidRDefault="009D04FC" w14:paraId="1F31DE32" w14:textId="77777777">
      <w:pPr>
        <w:jc w:val="both"/>
        <w:rPr>
          <w:rFonts w:ascii="Garamond" w:hAnsi="Garamond"/>
          <w:sz w:val="22"/>
          <w:szCs w:val="22"/>
        </w:rPr>
      </w:pPr>
      <w:r w:rsidRPr="00D11C96">
        <w:rPr>
          <w:rFonts w:ascii="Garamond" w:hAnsi="Garamond"/>
          <w:sz w:val="22"/>
          <w:szCs w:val="22"/>
        </w:rPr>
        <w:t xml:space="preserve">La guía de acotamientos de rondas resalta la necesidad de definir las rondas como mecanismo para dar un manejo que articule la funcionalidad de la ronda y la prestación de los servicios ecosistémicos de los humedales, esto resaltando que el desarrollo histórico de los asentamientos humanos se ha realizado, entre otras, alrededor de cuerpos de agua por la diversidad de servicios ecosistémicos que éstos prestan. </w:t>
      </w:r>
    </w:p>
    <w:p w:rsidRPr="00D11C96" w:rsidR="009D04FC" w:rsidP="00D343F6" w:rsidRDefault="009D04FC" w14:paraId="5C388F42" w14:textId="371D6744">
      <w:pPr>
        <w:jc w:val="both"/>
        <w:rPr>
          <w:rFonts w:ascii="Garamond" w:hAnsi="Garamond"/>
          <w:sz w:val="22"/>
          <w:szCs w:val="22"/>
        </w:rPr>
      </w:pPr>
      <w:r w:rsidRPr="00D11C96">
        <w:rPr>
          <w:rFonts w:ascii="Garamond" w:hAnsi="Garamond"/>
          <w:sz w:val="22"/>
          <w:szCs w:val="22"/>
        </w:rPr>
        <w:t xml:space="preserve">Lo anterior permitirá evitar la generación de condiciones de riesgos por inundación, avenidas torrenciales y estabilidad geotécnica al prevenir la exposición de personas, bienes o servicios, así como orientar su aprovechamiento de manera sostenible. Las distintas formas de ocupación del territorio, usos de la tierra y aprovechamiento de los recursos naturales, pueden llegar a tener impactos significativos en las funciones geomorfológicas, hidrológicas y ecosistémicas de las rondas hídricas. </w:t>
      </w:r>
    </w:p>
    <w:p w:rsidRPr="000B49EC" w:rsidR="009D04FC" w:rsidP="00D343F6" w:rsidRDefault="009D04FC" w14:paraId="1560296C" w14:textId="3430D374">
      <w:pPr>
        <w:jc w:val="both"/>
        <w:rPr>
          <w:rFonts w:ascii="Garamond" w:hAnsi="Garamond"/>
          <w:sz w:val="22"/>
          <w:szCs w:val="22"/>
        </w:rPr>
      </w:pPr>
      <w:r w:rsidRPr="00D11C96">
        <w:rPr>
          <w:rFonts w:ascii="Garamond" w:hAnsi="Garamond"/>
          <w:sz w:val="22"/>
          <w:szCs w:val="22"/>
        </w:rPr>
        <w:t xml:space="preserve">Es crucial entonces, abordar la evaluación de los impactos en el agua mediante índices que permitan una medición objetiva y sistemática. Los índices, como el Índice de Calidad del Agua (ICA), el Índice de Vulnerabilidad al Desabastecimiento </w:t>
      </w:r>
      <w:r w:rsidRPr="000B49EC">
        <w:rPr>
          <w:rFonts w:ascii="Garamond" w:hAnsi="Garamond"/>
          <w:sz w:val="22"/>
          <w:szCs w:val="22"/>
        </w:rPr>
        <w:t>Hídrico (IVDH),</w:t>
      </w:r>
      <w:r w:rsidRPr="00D11C96">
        <w:rPr>
          <w:rFonts w:ascii="Garamond" w:hAnsi="Garamond"/>
          <w:sz w:val="22"/>
          <w:szCs w:val="22"/>
        </w:rPr>
        <w:t xml:space="preserve"> el índice de regulación y retención </w:t>
      </w:r>
      <w:r w:rsidRPr="000B49EC">
        <w:rPr>
          <w:rFonts w:ascii="Garamond" w:hAnsi="Garamond"/>
          <w:sz w:val="22"/>
          <w:szCs w:val="22"/>
        </w:rPr>
        <w:t>hídrica (IRH),</w:t>
      </w:r>
      <w:r w:rsidRPr="00D11C96">
        <w:rPr>
          <w:rFonts w:ascii="Garamond" w:hAnsi="Garamond"/>
          <w:sz w:val="22"/>
          <w:szCs w:val="22"/>
        </w:rPr>
        <w:t xml:space="preserve"> el índice de alteración potencial de la calidad de agua (IACAL), el índice de fragmentación de ecosistemas, el índice de vegetación remanente, </w:t>
      </w:r>
      <w:r w:rsidRPr="000B49EC">
        <w:rPr>
          <w:rFonts w:ascii="Garamond" w:hAnsi="Garamond"/>
          <w:sz w:val="22"/>
          <w:szCs w:val="22"/>
        </w:rPr>
        <w:t>índice de conflicto por uso o el índice de uso del agua</w:t>
      </w:r>
      <w:r w:rsidRPr="00D11C96">
        <w:rPr>
          <w:rFonts w:ascii="Garamond" w:hAnsi="Garamond"/>
          <w:sz w:val="22"/>
          <w:szCs w:val="22"/>
        </w:rPr>
        <w:t xml:space="preserve"> ofrecen herramientas valiosas para comprender las manifestaciones de las afectaciones sobre el agua. Estos índices se basan en una variedad de variables, incluyendo parámetros físicos, químicos, biológicos y de cobertura terrestre, que reflejan la salud y funcionalidad de los ecosistemas acuáticos y terrestres. </w:t>
      </w:r>
    </w:p>
    <w:p w:rsidRPr="00D11C96" w:rsidR="009D04FC" w:rsidP="00D343F6" w:rsidRDefault="00F00A01" w14:paraId="0122DEC3" w14:textId="14801D1A">
      <w:pPr>
        <w:jc w:val="both"/>
        <w:rPr>
          <w:rFonts w:ascii="Garamond" w:hAnsi="Garamond"/>
          <w:sz w:val="22"/>
          <w:szCs w:val="22"/>
        </w:rPr>
      </w:pPr>
      <w:r w:rsidRPr="00D11C96">
        <w:rPr>
          <w:rFonts w:ascii="Garamond" w:hAnsi="Garamond"/>
          <w:sz w:val="22"/>
          <w:szCs w:val="22"/>
        </w:rPr>
        <w:t xml:space="preserve">En contraste con lo anterior, si bien el </w:t>
      </w:r>
      <w:r w:rsidRPr="00D11C96" w:rsidR="00D26108">
        <w:rPr>
          <w:rFonts w:ascii="Garamond" w:hAnsi="Garamond"/>
          <w:sz w:val="22"/>
          <w:szCs w:val="22"/>
        </w:rPr>
        <w:t>diagnóstico</w:t>
      </w:r>
      <w:r w:rsidRPr="00D11C96">
        <w:rPr>
          <w:rFonts w:ascii="Garamond" w:hAnsi="Garamond"/>
          <w:sz w:val="22"/>
          <w:szCs w:val="22"/>
        </w:rPr>
        <w:t xml:space="preserve"> sobre el ciclo del agua </w:t>
      </w:r>
      <w:r w:rsidR="00D26108">
        <w:rPr>
          <w:rFonts w:ascii="Garamond" w:hAnsi="Garamond"/>
          <w:sz w:val="22"/>
          <w:szCs w:val="22"/>
        </w:rPr>
        <w:t>suele ser</w:t>
      </w:r>
      <w:r w:rsidRPr="00D11C96">
        <w:rPr>
          <w:rFonts w:ascii="Garamond" w:hAnsi="Garamond"/>
          <w:sz w:val="22"/>
          <w:szCs w:val="22"/>
        </w:rPr>
        <w:t xml:space="preserve"> desalentador, el consumo de agua es necesario para mantener las dinámicas socioeconómicas de la Sabana, sin embargo esto también genera modificaciones sobre este ciclo, a</w:t>
      </w:r>
      <w:r w:rsidRPr="00D11C96" w:rsidR="00F85B8D">
        <w:rPr>
          <w:rFonts w:ascii="Garamond" w:hAnsi="Garamond"/>
          <w:sz w:val="22"/>
          <w:szCs w:val="22"/>
        </w:rPr>
        <w:t xml:space="preserve">lgunos de los principales impactos y afectaciones identificados por las obras de adecuación hidráulica en los ríos de la Sabana del Río Bogotá son: alteración de las características físicas del suelo, concentración de nutrientes y sedimentos, los cambios en las dinámicas de erosión, socavación y curso del río, inestabilidad de taludes y fenómenos de remoción en masa, afectación en los flujos de agua superficial, alteración del equilibrio ecológico y de las cadenas tróficas, riesgos por toxicidad, pérdida de hábitat para la fauna, afectación de la biodiversidad incluyendo especies endémicas y en riesgos de extinción, generación o traslado de riesgos, poca efectividad a largo plazo en escenarios de cambio climático, afectación de entre otros. </w:t>
      </w:r>
    </w:p>
    <w:p w:rsidRPr="00D11C96" w:rsidR="009D04FC" w:rsidP="00D343F6" w:rsidRDefault="00F85B8D" w14:paraId="397AA24B" w14:textId="3F1424D0">
      <w:pPr>
        <w:jc w:val="both"/>
        <w:rPr>
          <w:rFonts w:ascii="Garamond" w:hAnsi="Garamond"/>
          <w:b/>
          <w:bCs/>
          <w:sz w:val="22"/>
          <w:szCs w:val="22"/>
        </w:rPr>
      </w:pPr>
      <w:r w:rsidRPr="00D11C96">
        <w:rPr>
          <w:rFonts w:ascii="Garamond" w:hAnsi="Garamond"/>
          <w:sz w:val="22"/>
          <w:szCs w:val="22"/>
        </w:rPr>
        <w:t>Como factor agravante de la sobreexplotación de las aguas subterráneas en la Sabana de Bogotá, debe considerarse el actual proceso de expansión urbana que se presenta en la región. Entre el periodo comprendido entre 2005 y 2018, el sector de la Sabana Centro ha presentado un crecimiento poblacional del 28 %, muy superior a aquel para el mismo periodo de 12 % a nivel nacional y del 8.4 % de Bogotá (Observatorio Sabana Centro Como vamos, 2018). Este comportamiento puede ser explicado, entre otras cosas, por el costo de la vivienda, la llegada de nuevas industrias y la consolidación de otros sectores económicos en la región, que en conjunto generan un aumento en la presión sobre los servicios públicos y la infraestructura disponible para absorber los flujos migratorios, así como un mayor impacto sobre los servicios ecosistémicos (Observatorio Sabana Centro Como vamos, 2018).</w:t>
      </w:r>
    </w:p>
    <w:p w:rsidRPr="00D11C96" w:rsidR="009D04FC" w:rsidP="00D343F6" w:rsidRDefault="00AF15B3" w14:paraId="2B442694" w14:textId="16BCCF55">
      <w:pPr>
        <w:jc w:val="both"/>
        <w:rPr>
          <w:rFonts w:ascii="Garamond" w:hAnsi="Garamond"/>
          <w:b/>
          <w:bCs/>
          <w:sz w:val="22"/>
          <w:szCs w:val="22"/>
        </w:rPr>
      </w:pPr>
      <w:r w:rsidRPr="00D11C96">
        <w:rPr>
          <w:rFonts w:ascii="Garamond" w:hAnsi="Garamond"/>
          <w:sz w:val="22"/>
          <w:szCs w:val="22"/>
        </w:rPr>
        <w:t xml:space="preserve">Las implicaciones de tener un ICA y un IACAL alto o muy alto son preocupantes, ya que sugiere que los cuerpos de agua en la Región Sabana están en riesgo de sufrir impactos negativos en su calidad, lo que puede afectar tanto el ecosistema acuático como la disponibilidad de agua para uso humano y otros fines. Por lo tanto, </w:t>
      </w:r>
      <w:r w:rsidRPr="00D11C96">
        <w:rPr>
          <w:rFonts w:ascii="Garamond" w:hAnsi="Garamond"/>
          <w:sz w:val="22"/>
          <w:szCs w:val="22"/>
        </w:rPr>
        <w:t>es crucial implementar medidas de gestión adecuadas para reducir la contaminación y proteger la calidad del agua en esta región. Esto puede incluir políticas de control de la contaminación, programas de tratamiento de aguas residuales, prácticas agrícolas sostenibles y medidas de conservación ambiental para preservar los cuerpos de agua y sus ecosistemas asociados.</w:t>
      </w:r>
    </w:p>
    <w:p w:rsidRPr="00D11C96" w:rsidR="007B3526" w:rsidP="00D343F6" w:rsidRDefault="007B3526" w14:paraId="7AC2A5AF" w14:textId="77777777">
      <w:pPr>
        <w:jc w:val="both"/>
        <w:rPr>
          <w:rFonts w:ascii="Garamond" w:hAnsi="Garamond"/>
          <w:sz w:val="22"/>
          <w:szCs w:val="22"/>
        </w:rPr>
      </w:pPr>
    </w:p>
    <w:p w:rsidRPr="00D11C96" w:rsidR="00496997" w:rsidP="00FA55D4" w:rsidRDefault="00FE0764" w14:paraId="1BB9DFB6" w14:textId="7F32B354">
      <w:pPr>
        <w:pStyle w:val="Heading2"/>
      </w:pPr>
      <w:bookmarkStart w:name="_Toc216938704" w:id="15"/>
      <w:r w:rsidRPr="00D11C96">
        <w:t>Bibliografía</w:t>
      </w:r>
      <w:bookmarkEnd w:id="15"/>
    </w:p>
    <w:p w:rsidRPr="00D11C96" w:rsidR="00FE0764" w:rsidP="00A1785B" w:rsidRDefault="00FE0764" w14:paraId="6C0C7B1F" w14:textId="7E13C180">
      <w:pPr>
        <w:jc w:val="both"/>
        <w:rPr>
          <w:rFonts w:ascii="Garamond" w:hAnsi="Garamond"/>
          <w:sz w:val="22"/>
          <w:szCs w:val="22"/>
        </w:rPr>
      </w:pPr>
      <w:r w:rsidRPr="00D11C96">
        <w:rPr>
          <w:rFonts w:ascii="Garamond" w:hAnsi="Garamond"/>
          <w:sz w:val="22"/>
          <w:szCs w:val="22"/>
        </w:rPr>
        <w:t>Plan Frutícola Nacional de Colombia. (2006). Desarrollo de la Floricultura en Cundinamarca. Cali.</w:t>
      </w:r>
    </w:p>
    <w:p w:rsidRPr="00D11C96" w:rsidR="00925DEB" w:rsidP="00A1785B" w:rsidRDefault="00925DEB" w14:paraId="340EA83C" w14:textId="6E76492C">
      <w:pPr>
        <w:jc w:val="both"/>
        <w:rPr>
          <w:rFonts w:ascii="Garamond" w:hAnsi="Garamond"/>
          <w:sz w:val="22"/>
          <w:szCs w:val="22"/>
        </w:rPr>
      </w:pPr>
      <w:r w:rsidRPr="00D11C96">
        <w:rPr>
          <w:rFonts w:ascii="Garamond" w:hAnsi="Garamond"/>
          <w:sz w:val="22"/>
          <w:szCs w:val="22"/>
        </w:rPr>
        <w:t xml:space="preserve">Proyecto de Sistemas de Información Estadística y Estudios Económicos. Fondo Nacional de Fomento de la Papa - Federación Colombiana de Productores de Papa. (2024). </w:t>
      </w:r>
      <w:hyperlink w:tgtFrame="_blank" w:history="1" r:id="rId23">
        <w:r w:rsidRPr="00D11C96">
          <w:rPr>
            <w:rStyle w:val="Hyperlink"/>
            <w:rFonts w:ascii="Garamond" w:hAnsi="Garamond"/>
            <w:sz w:val="22"/>
            <w:szCs w:val="22"/>
          </w:rPr>
          <w:t>https://fedepapa.com/home/wp-content/uploads/2024/10/Boletin-191.pdf</w:t>
        </w:r>
      </w:hyperlink>
    </w:p>
    <w:p w:rsidRPr="00D11C96" w:rsidR="00247AC1" w:rsidP="00A1785B" w:rsidRDefault="00247AC1" w14:paraId="2693C3F9" w14:textId="0C24F963">
      <w:pPr>
        <w:jc w:val="both"/>
        <w:rPr>
          <w:rFonts w:ascii="Garamond" w:hAnsi="Garamond"/>
          <w:sz w:val="22"/>
          <w:szCs w:val="22"/>
        </w:rPr>
      </w:pPr>
      <w:r w:rsidRPr="00D11C96">
        <w:rPr>
          <w:rFonts w:ascii="Garamond" w:hAnsi="Garamond"/>
          <w:sz w:val="22"/>
          <w:szCs w:val="22"/>
        </w:rPr>
        <w:t xml:space="preserve">Cubillos, D. N. (2022). </w:t>
      </w:r>
      <w:r w:rsidRPr="00D11C96">
        <w:rPr>
          <w:rFonts w:ascii="Garamond" w:hAnsi="Garamond"/>
          <w:i/>
          <w:iCs/>
          <w:sz w:val="22"/>
          <w:szCs w:val="22"/>
        </w:rPr>
        <w:t>El turismo en Bogotá-Cundinamarca Una aproximación a un diagnóstico territorial del sector en la región</w:t>
      </w:r>
      <w:r w:rsidRPr="00D11C96">
        <w:rPr>
          <w:rFonts w:ascii="Garamond" w:hAnsi="Garamond"/>
          <w:sz w:val="22"/>
          <w:szCs w:val="22"/>
        </w:rPr>
        <w:t xml:space="preserve">. </w:t>
      </w:r>
      <w:hyperlink w:tgtFrame="_blank" w:history="1" r:id="rId24">
        <w:r w:rsidRPr="00D11C96">
          <w:rPr>
            <w:rStyle w:val="Hyperlink"/>
            <w:rFonts w:ascii="Garamond" w:hAnsi="Garamond"/>
            <w:sz w:val="22"/>
            <w:szCs w:val="22"/>
          </w:rPr>
          <w:t>https://www.sdp.gov.co/sites/default/files/diagnostico_turismo_region_bog-cun_0.pdf</w:t>
        </w:r>
      </w:hyperlink>
    </w:p>
    <w:p w:rsidRPr="00D11C96" w:rsidR="00925DEB" w:rsidP="00A1785B" w:rsidRDefault="00247AC1" w14:paraId="62959EBA" w14:textId="46669407">
      <w:pPr>
        <w:jc w:val="both"/>
        <w:rPr>
          <w:rFonts w:ascii="Garamond" w:hAnsi="Garamond"/>
          <w:sz w:val="22"/>
          <w:szCs w:val="22"/>
        </w:rPr>
      </w:pPr>
      <w:r w:rsidRPr="00D11C96">
        <w:rPr>
          <w:rFonts w:ascii="Garamond" w:hAnsi="Garamond"/>
          <w:sz w:val="22"/>
          <w:szCs w:val="22"/>
        </w:rPr>
        <w:t xml:space="preserve">Gobernación de Cundinamarca. (2020). </w:t>
      </w:r>
      <w:r w:rsidRPr="00D11C96">
        <w:rPr>
          <w:rFonts w:ascii="Garamond" w:hAnsi="Garamond"/>
          <w:i/>
          <w:iCs/>
          <w:sz w:val="22"/>
          <w:szCs w:val="22"/>
        </w:rPr>
        <w:t>SUBSISTEMA PRODUCTIVIDAD Y COMPETITIVIDAD SOSTENIBLE 447 3.1 CARACTERIZACIÓN ECONÓMICA Y PRODUCTIVA D</w:t>
      </w:r>
      <w:r w:rsidRPr="00D11C96">
        <w:rPr>
          <w:rFonts w:ascii="Garamond" w:hAnsi="Garamond"/>
          <w:sz w:val="22"/>
          <w:szCs w:val="22"/>
        </w:rPr>
        <w:t xml:space="preserve">. </w:t>
      </w:r>
      <w:hyperlink w:tgtFrame="_blank" w:history="1" r:id="rId25">
        <w:r w:rsidRPr="00D11C96">
          <w:rPr>
            <w:rStyle w:val="Hyperlink"/>
            <w:rFonts w:ascii="Garamond" w:hAnsi="Garamond"/>
            <w:sz w:val="22"/>
            <w:szCs w:val="22"/>
          </w:rPr>
          <w:t>https://www.cundinamarca.gov.co/wcm/connect/51532dc5-cb4a-4a64-ad6e-c644bf4c57d8/CAPITULO%2B3%2BSUBSISTEMA%2BPRODUCTIVIDAD%2BY%2BCOMPETITIVIDAD%2BSOSTENIBLE.pdf?MOD=AJPERES&amp;CONVERT_TO=url&amp;CACHEID=ROOTWORKSPACE-51532dc5-cb4a-4a64-ad6e-c644bf4c57d8-nRFHd2x</w:t>
        </w:r>
      </w:hyperlink>
    </w:p>
    <w:p w:rsidRPr="00D11C96" w:rsidR="00247AC1" w:rsidP="00A1785B" w:rsidRDefault="00247AC1" w14:paraId="6C932959" w14:textId="0D4EAEFD">
      <w:pPr>
        <w:jc w:val="both"/>
        <w:rPr>
          <w:rFonts w:ascii="Garamond" w:hAnsi="Garamond"/>
          <w:sz w:val="22"/>
          <w:szCs w:val="22"/>
        </w:rPr>
      </w:pPr>
      <w:r w:rsidRPr="00D11C96">
        <w:rPr>
          <w:rFonts w:ascii="Garamond" w:hAnsi="Garamond"/>
          <w:sz w:val="22"/>
          <w:szCs w:val="22"/>
        </w:rPr>
        <w:t xml:space="preserve">Centro de Investigaciones para el Desarrollo. (2025). </w:t>
      </w:r>
      <w:r w:rsidRPr="00D11C96">
        <w:rPr>
          <w:rFonts w:ascii="Garamond" w:hAnsi="Garamond"/>
          <w:i/>
          <w:iCs/>
          <w:sz w:val="22"/>
          <w:szCs w:val="22"/>
        </w:rPr>
        <w:t>ESTRATEGIA DE COMPETITIVIDAD PARA CUNDINAMARCA VISIÓN 2036: Construyendo una Cundinamarca para el Futuro</w:t>
      </w:r>
      <w:r w:rsidRPr="00D11C96">
        <w:rPr>
          <w:rFonts w:ascii="Garamond" w:hAnsi="Garamond"/>
          <w:sz w:val="22"/>
          <w:szCs w:val="22"/>
        </w:rPr>
        <w:t xml:space="preserve">. </w:t>
      </w:r>
      <w:hyperlink w:tgtFrame="_blank" w:history="1" r:id="rId26">
        <w:r w:rsidRPr="00D11C96">
          <w:rPr>
            <w:rStyle w:val="Hyperlink"/>
            <w:rFonts w:ascii="Garamond" w:hAnsi="Garamond"/>
            <w:sz w:val="22"/>
            <w:szCs w:val="22"/>
          </w:rPr>
          <w:t>https://www.cundinamarca.gov.co/wcm/connect/816180fa-f4f1-4651-a2a3-e5698968f17d/ESTRATEGIA+DE+COMPETITIVIDAD+PARA+CUNDINAMARCA+VER+ENE+2020.pdf?MOD=AJPERES&amp;CVID=nPtT2bP</w:t>
        </w:r>
      </w:hyperlink>
    </w:p>
    <w:p w:rsidRPr="00D11C96" w:rsidR="007277B1" w:rsidP="00A1785B" w:rsidRDefault="007277B1" w14:paraId="00E79ED6" w14:textId="782C891E">
      <w:pPr>
        <w:jc w:val="both"/>
        <w:rPr>
          <w:rFonts w:ascii="Garamond" w:hAnsi="Garamond"/>
          <w:sz w:val="22"/>
          <w:szCs w:val="22"/>
        </w:rPr>
      </w:pPr>
      <w:r w:rsidRPr="00D11C96">
        <w:rPr>
          <w:rFonts w:ascii="Garamond" w:hAnsi="Garamond"/>
          <w:sz w:val="22"/>
          <w:szCs w:val="22"/>
        </w:rPr>
        <w:t xml:space="preserve">Ministerio de Comercio, Industria y Turismo. (2020). </w:t>
      </w:r>
      <w:r w:rsidRPr="00D11C96">
        <w:rPr>
          <w:rFonts w:ascii="Garamond" w:hAnsi="Garamond"/>
          <w:i/>
          <w:iCs/>
          <w:sz w:val="22"/>
          <w:szCs w:val="22"/>
        </w:rPr>
        <w:t>Informes de turismo</w:t>
      </w:r>
      <w:r w:rsidRPr="00D11C96">
        <w:rPr>
          <w:rFonts w:ascii="Garamond" w:hAnsi="Garamond"/>
          <w:sz w:val="22"/>
          <w:szCs w:val="22"/>
        </w:rPr>
        <w:t xml:space="preserve">. </w:t>
      </w:r>
      <w:hyperlink w:tgtFrame="_blank" w:history="1" r:id="rId27">
        <w:r w:rsidRPr="00D11C96">
          <w:rPr>
            <w:rStyle w:val="Hyperlink"/>
            <w:rFonts w:ascii="Garamond" w:hAnsi="Garamond"/>
            <w:sz w:val="22"/>
            <w:szCs w:val="22"/>
          </w:rPr>
          <w:t>https://www.mincit.gov.co/estudios-economicos/estadisticas-e-informes/informes-de-turismo</w:t>
        </w:r>
      </w:hyperlink>
    </w:p>
    <w:p w:rsidRPr="00D11C96" w:rsidR="007277B1" w:rsidP="00A1785B" w:rsidRDefault="007D208C" w14:paraId="5B6A8518" w14:textId="268FC8F2">
      <w:pPr>
        <w:jc w:val="both"/>
        <w:rPr>
          <w:rFonts w:ascii="Garamond" w:hAnsi="Garamond"/>
          <w:sz w:val="22"/>
          <w:szCs w:val="22"/>
        </w:rPr>
      </w:pPr>
      <w:r w:rsidRPr="00D11C96">
        <w:rPr>
          <w:rFonts w:ascii="Garamond" w:hAnsi="Garamond"/>
          <w:sz w:val="22"/>
          <w:szCs w:val="22"/>
        </w:rPr>
        <w:t xml:space="preserve">Camargo Bustamante, W. J., &amp; Lasso Cárdenas, J. Y. (2021). </w:t>
      </w:r>
      <w:r w:rsidRPr="00D11C96">
        <w:rPr>
          <w:rFonts w:ascii="Garamond" w:hAnsi="Garamond"/>
          <w:i/>
          <w:iCs/>
          <w:sz w:val="22"/>
          <w:szCs w:val="22"/>
        </w:rPr>
        <w:t>Perfil del consumidor de turismo de naturaleza en la Sabana de Bogotá</w:t>
      </w:r>
      <w:r w:rsidRPr="00D11C96">
        <w:rPr>
          <w:rFonts w:ascii="Garamond" w:hAnsi="Garamond"/>
          <w:sz w:val="22"/>
          <w:szCs w:val="22"/>
        </w:rPr>
        <w:t xml:space="preserve"> (Y. Urrego Sánchez, Dir.). Universidad Colegio Mayor de Cundinamarca, Facultad de Ciencias Sociales, Programa de Turismo. </w:t>
      </w:r>
      <w:hyperlink w:tgtFrame="_blank" w:history="1" r:id="rId28">
        <w:r w:rsidRPr="00D11C96">
          <w:rPr>
            <w:rStyle w:val="Hyperlink"/>
            <w:rFonts w:ascii="Garamond" w:hAnsi="Garamond"/>
            <w:sz w:val="22"/>
            <w:szCs w:val="22"/>
          </w:rPr>
          <w:t>https://repositorio.unicolmayor.edu.co/bitstream/handle/unicolmayor/5587/8.Perfil%20del%20consumidor-Camargo%20y%20Lasso%20%281%29.pdf?sequence=1&amp;isAllowed=y</w:t>
        </w:r>
      </w:hyperlink>
    </w:p>
    <w:p w:rsidRPr="00D11C96" w:rsidR="009E4C82" w:rsidP="00A1785B" w:rsidRDefault="009E4C82" w14:paraId="3A03FC4D" w14:textId="0C5C6D67">
      <w:pPr>
        <w:jc w:val="both"/>
        <w:rPr>
          <w:rFonts w:ascii="Garamond" w:hAnsi="Garamond"/>
          <w:sz w:val="22"/>
          <w:szCs w:val="22"/>
        </w:rPr>
      </w:pPr>
      <w:r w:rsidRPr="00D11C96">
        <w:rPr>
          <w:rFonts w:ascii="Garamond" w:hAnsi="Garamond"/>
          <w:sz w:val="22"/>
          <w:szCs w:val="22"/>
        </w:rPr>
        <w:t xml:space="preserve">Alarcón Marentes, L. A. (2012). </w:t>
      </w:r>
      <w:r w:rsidRPr="00D11C96">
        <w:rPr>
          <w:rFonts w:ascii="Garamond" w:hAnsi="Garamond"/>
          <w:i/>
          <w:iCs/>
          <w:sz w:val="22"/>
          <w:szCs w:val="22"/>
        </w:rPr>
        <w:t>Análisis de consumos de acueducto en zonas industriales de bajo impacto</w:t>
      </w:r>
      <w:r w:rsidRPr="00D11C96">
        <w:rPr>
          <w:rFonts w:ascii="Garamond" w:hAnsi="Garamond"/>
          <w:sz w:val="22"/>
          <w:szCs w:val="22"/>
        </w:rPr>
        <w:t xml:space="preserve"> (Tesis de especialización). Universidad de Los Andes, Facultad de Ingeniería, Departamento de Ingeniería Civil y Ambiental, Centro de Investigación en Acueductos y Alcantarillados (CIACUA), Bogotá, D.C., Colombia. </w:t>
      </w:r>
      <w:hyperlink w:tgtFrame="_blank" w:history="1" r:id="rId29">
        <w:r w:rsidRPr="00D11C96">
          <w:rPr>
            <w:rStyle w:val="Hyperlink"/>
            <w:rFonts w:ascii="Garamond" w:hAnsi="Garamond"/>
            <w:sz w:val="22"/>
            <w:szCs w:val="22"/>
          </w:rPr>
          <w:t>https://pavcowavin.com.co/analisis-de-consumos-de-acueducto-en-zonas-industriales</w:t>
        </w:r>
      </w:hyperlink>
    </w:p>
    <w:p w:rsidRPr="00D11C96" w:rsidR="00F05597" w:rsidP="00A1785B" w:rsidRDefault="00F05597" w14:paraId="0F4743DF" w14:textId="2D05021B">
      <w:pPr>
        <w:jc w:val="both"/>
        <w:rPr>
          <w:rFonts w:ascii="Garamond" w:hAnsi="Garamond"/>
          <w:sz w:val="22"/>
          <w:szCs w:val="22"/>
        </w:rPr>
      </w:pPr>
      <w:r w:rsidRPr="00D11C96">
        <w:rPr>
          <w:rFonts w:ascii="Garamond" w:hAnsi="Garamond"/>
          <w:sz w:val="22"/>
          <w:szCs w:val="22"/>
        </w:rPr>
        <w:t xml:space="preserve">Personería de Bogotá. (2024, 18 de septiembre). Personería hace un llamado a la EAAB para reducir el índice de agua no contabilizada, que hoy se acerca al 40%. </w:t>
      </w:r>
      <w:hyperlink w:tgtFrame="_blank" w:history="1" r:id="rId30">
        <w:r w:rsidRPr="00D11C96">
          <w:rPr>
            <w:rStyle w:val="Hyperlink"/>
            <w:rFonts w:ascii="Garamond" w:hAnsi="Garamond"/>
            <w:sz w:val="22"/>
            <w:szCs w:val="22"/>
          </w:rPr>
          <w:t>https://www.personeriabogota.gov.co/sala-de-prensa/notas-de-prensa/item/1254-personeria-hace-un-llamado-a-la-eaab-para-reducir-el-indice-de-agua-no-contabilizada-que-hoy-se-acerca-al-40</w:t>
        </w:r>
      </w:hyperlink>
    </w:p>
    <w:p w:rsidRPr="00D11C96" w:rsidR="00F05597" w:rsidP="00A1785B" w:rsidRDefault="0034271A" w14:paraId="2BE7E140" w14:textId="184DF3E8">
      <w:pPr>
        <w:jc w:val="both"/>
        <w:rPr>
          <w:rFonts w:ascii="Garamond" w:hAnsi="Garamond"/>
          <w:sz w:val="22"/>
          <w:szCs w:val="22"/>
        </w:rPr>
      </w:pPr>
      <w:proofErr w:type="spellStart"/>
      <w:r w:rsidRPr="00D11C96">
        <w:rPr>
          <w:rFonts w:ascii="Garamond" w:hAnsi="Garamond"/>
          <w:sz w:val="22"/>
          <w:szCs w:val="22"/>
        </w:rPr>
        <w:t>Fedemaderas</w:t>
      </w:r>
      <w:proofErr w:type="spellEnd"/>
      <w:r w:rsidRPr="00D11C96">
        <w:rPr>
          <w:rFonts w:ascii="Garamond" w:hAnsi="Garamond"/>
          <w:sz w:val="22"/>
          <w:szCs w:val="22"/>
        </w:rPr>
        <w:t xml:space="preserve">. (2024, 28 de mayo). ¿Cuánto dinero cuesta restaurar los ecosistemas de Colombia? </w:t>
      </w:r>
      <w:hyperlink w:tgtFrame="_blank" w:history="1" w:anchor=":~:text=En%20promedio%20la%20restauraci%C3%B3n%20por,de%20degradaci%C3%B3n%20de%20los%20ecosistemas" r:id="rId31">
        <w:r w:rsidRPr="00D11C96">
          <w:rPr>
            <w:rStyle w:val="Hyperlink"/>
            <w:rFonts w:ascii="Garamond" w:hAnsi="Garamond"/>
            <w:sz w:val="22"/>
            <w:szCs w:val="22"/>
          </w:rPr>
          <w:t>https://fedemaderas.org.co/cuanto-dinero-cuesta-restaurar-los-ecosistemas-de-colombia/#:~:text=En%20promedio%20la%20restauraci%C3%B3n%20por,de%20degradaci%C3%B3n%20de%20los%20ecosistemas</w:t>
        </w:r>
      </w:hyperlink>
    </w:p>
    <w:p w:rsidRPr="00D11C96" w:rsidR="00F93C82" w:rsidP="00A1785B" w:rsidRDefault="00F93C82" w14:paraId="5F29E606" w14:textId="59CCD0EE">
      <w:pPr>
        <w:jc w:val="both"/>
        <w:rPr>
          <w:rFonts w:ascii="Garamond" w:hAnsi="Garamond"/>
          <w:sz w:val="22"/>
          <w:szCs w:val="22"/>
        </w:rPr>
      </w:pPr>
      <w:r w:rsidRPr="00D11C96">
        <w:rPr>
          <w:rFonts w:ascii="Garamond" w:hAnsi="Garamond"/>
          <w:sz w:val="22"/>
          <w:szCs w:val="22"/>
        </w:rPr>
        <w:t xml:space="preserve">Secretaria Distrital de Ambiente de Bogotá (SDA) - Oficina de Asuntos Ambientales de Bogotá. (2017, 8 de mayo). Enfermedades relacionadas a daños ambientales cuestan $20,7 billones. </w:t>
      </w:r>
      <w:hyperlink w:tgtFrame="_blank" w:history="1" r:id="rId32">
        <w:r w:rsidRPr="00D11C96">
          <w:rPr>
            <w:rStyle w:val="Hyperlink"/>
            <w:rFonts w:ascii="Garamond" w:hAnsi="Garamond"/>
            <w:sz w:val="22"/>
            <w:szCs w:val="22"/>
          </w:rPr>
          <w:t>https://oab.ambientebogota.gov.co/enfermedades-relacionadas-a-danos-ambientales-cuestan-207-billones/#:~:text=Enfermedades%20relacionadas%20a%20da%C3%B1os%20ambientales%20cuestan%20%2420%2C7%20billones,-Publicado%3A%208%20mayo&amp;amp;text=El%20DNP%20estima%20un%20total,la%20contaminaci%C3%B3n%20del%20aire%20urbano.</w:t>
        </w:r>
      </w:hyperlink>
    </w:p>
    <w:p w:rsidRPr="00D11C96" w:rsidR="00F93C82" w:rsidP="00A1785B" w:rsidRDefault="004C03CE" w14:paraId="604CF714" w14:textId="7D52DC0E">
      <w:pPr>
        <w:jc w:val="both"/>
        <w:rPr>
          <w:rFonts w:ascii="Garamond" w:hAnsi="Garamond"/>
          <w:sz w:val="22"/>
          <w:szCs w:val="22"/>
        </w:rPr>
      </w:pPr>
      <w:r w:rsidRPr="00D11C96">
        <w:rPr>
          <w:rFonts w:ascii="Garamond" w:hAnsi="Garamond"/>
          <w:sz w:val="22"/>
          <w:szCs w:val="22"/>
        </w:rPr>
        <w:t xml:space="preserve">Arteaga, E., &amp; Burbano, A. (2018). Efectos del cambio climático en el sector agrícola colombiano. </w:t>
      </w:r>
      <w:r w:rsidRPr="00D11C96">
        <w:rPr>
          <w:rFonts w:ascii="Garamond" w:hAnsi="Garamond"/>
          <w:i/>
          <w:iCs/>
          <w:sz w:val="22"/>
          <w:szCs w:val="22"/>
        </w:rPr>
        <w:t>Revista de Ciencias Agrícolas, 35</w:t>
      </w:r>
      <w:r w:rsidRPr="00D11C96">
        <w:rPr>
          <w:rFonts w:ascii="Garamond" w:hAnsi="Garamond"/>
          <w:sz w:val="22"/>
          <w:szCs w:val="22"/>
        </w:rPr>
        <w:t xml:space="preserve">(2), 79-91. </w:t>
      </w:r>
      <w:hyperlink w:tgtFrame="_blank" w:history="1" r:id="rId33">
        <w:r w:rsidRPr="00D11C96">
          <w:rPr>
            <w:rStyle w:val="Hyperlink"/>
            <w:rFonts w:ascii="Garamond" w:hAnsi="Garamond"/>
            <w:sz w:val="22"/>
            <w:szCs w:val="22"/>
          </w:rPr>
          <w:t>http://www.scielo.org.co/scielo.php?script=sci_arttext&amp;pid=S0120-01352018000200079</w:t>
        </w:r>
      </w:hyperlink>
    </w:p>
    <w:p w:rsidRPr="00D11C96" w:rsidR="00986293" w:rsidP="00A1785B" w:rsidRDefault="00986293" w14:paraId="327D9F2A" w14:textId="56B52129">
      <w:pPr>
        <w:jc w:val="both"/>
        <w:rPr>
          <w:rFonts w:ascii="Garamond" w:hAnsi="Garamond"/>
          <w:sz w:val="22"/>
          <w:szCs w:val="22"/>
        </w:rPr>
      </w:pPr>
      <w:r w:rsidRPr="00D11C96">
        <w:rPr>
          <w:rFonts w:ascii="Garamond" w:hAnsi="Garamond"/>
          <w:sz w:val="22"/>
          <w:szCs w:val="22"/>
        </w:rPr>
        <w:t xml:space="preserve">BID - Banco Interamericano de Desarrollo, CEPAL - Comisión Económica para América Latina y el Caribe, DNP - Departamento Nacional de Planeación, &amp; IDEAM - Instituto de Hidrología, Meteorología y Estudios Ambientales. (2014). </w:t>
      </w:r>
      <w:r w:rsidRPr="00D11C96">
        <w:rPr>
          <w:rFonts w:ascii="Garamond" w:hAnsi="Garamond"/>
          <w:i/>
          <w:iCs/>
          <w:sz w:val="22"/>
          <w:szCs w:val="22"/>
        </w:rPr>
        <w:t>Impactos económicos del cambio climático en Colombia</w:t>
      </w:r>
      <w:r w:rsidRPr="00D11C96">
        <w:rPr>
          <w:rFonts w:ascii="Garamond" w:hAnsi="Garamond"/>
          <w:sz w:val="22"/>
          <w:szCs w:val="22"/>
        </w:rPr>
        <w:t xml:space="preserve">. Pereira Editores. Recuperado de </w:t>
      </w:r>
      <w:hyperlink w:history="1" r:id="rId34">
        <w:r w:rsidRPr="00D11C96">
          <w:rPr>
            <w:rStyle w:val="Hyperlink"/>
            <w:rFonts w:ascii="Garamond" w:hAnsi="Garamond"/>
            <w:sz w:val="22"/>
            <w:szCs w:val="22"/>
          </w:rPr>
          <w:t>https://repositorio.cepal.org/bitstream/handle/11362/37879/S1500268_es.pdf</w:t>
        </w:r>
      </w:hyperlink>
    </w:p>
    <w:p w:rsidRPr="00D11C96" w:rsidR="00986293" w:rsidP="00A1785B" w:rsidRDefault="00D91919" w14:paraId="2DB31083" w14:textId="14908066">
      <w:pPr>
        <w:jc w:val="both"/>
        <w:rPr>
          <w:rFonts w:ascii="Garamond" w:hAnsi="Garamond"/>
          <w:sz w:val="22"/>
          <w:szCs w:val="22"/>
        </w:rPr>
      </w:pPr>
      <w:r w:rsidRPr="00D11C96">
        <w:rPr>
          <w:rFonts w:ascii="Garamond" w:hAnsi="Garamond"/>
          <w:sz w:val="22"/>
          <w:szCs w:val="22"/>
        </w:rPr>
        <w:t>IDEAM - Instituto de Hidrología, Meteorología y Estudios Ambientales, PNUD - Programa de las Naciones Unidas para el Desarrollo, MADS - Ministerio de Ambiente y Desarrollo Sostenible, DNP - Departamento Nacional de Planeación, Cancillería. (2015). Nuevos Escenarios de Cambio Climático para Colombia 2011-2100. Herramientas Científicas para la Toma de Decisiones - Enfoque Nacional - Departamental: Tercera Comunicación Nacional de Cambio Climático. Recuperada de </w:t>
      </w:r>
      <w:hyperlink w:tgtFrame="_blank" w:history="1" r:id="rId35">
        <w:r w:rsidRPr="00D11C96">
          <w:rPr>
            <w:rStyle w:val="Hyperlink"/>
            <w:rFonts w:ascii="Garamond" w:hAnsi="Garamond"/>
            <w:sz w:val="22"/>
            <w:szCs w:val="22"/>
          </w:rPr>
          <w:t>http://documentacion.ideam.gov.co/openbiblio/bvirtual/ 022964/documento_nacional_departamental.pdf</w:t>
        </w:r>
      </w:hyperlink>
      <w:r w:rsidRPr="00D11C96">
        <w:rPr>
          <w:rFonts w:ascii="Garamond" w:hAnsi="Garamond"/>
          <w:sz w:val="22"/>
          <w:szCs w:val="22"/>
        </w:rPr>
        <w:t> [ </w:t>
      </w:r>
      <w:hyperlink w:history="1" r:id="rId36">
        <w:r w:rsidRPr="00D11C96">
          <w:rPr>
            <w:rStyle w:val="Hyperlink"/>
            <w:rFonts w:ascii="Garamond" w:hAnsi="Garamond"/>
            <w:sz w:val="22"/>
            <w:szCs w:val="22"/>
          </w:rPr>
          <w:t>Links</w:t>
        </w:r>
      </w:hyperlink>
      <w:r w:rsidRPr="00D11C96">
        <w:rPr>
          <w:rFonts w:ascii="Garamond" w:hAnsi="Garamond"/>
          <w:sz w:val="22"/>
          <w:szCs w:val="22"/>
        </w:rPr>
        <w:t> ]</w:t>
      </w:r>
    </w:p>
    <w:p w:rsidRPr="00D11C96" w:rsidR="00986293" w:rsidP="00A1785B" w:rsidRDefault="003B34EB" w14:paraId="6D29F6FF" w14:textId="2FB7C03B">
      <w:pPr>
        <w:jc w:val="both"/>
        <w:rPr>
          <w:rFonts w:ascii="Garamond" w:hAnsi="Garamond"/>
          <w:sz w:val="22"/>
          <w:szCs w:val="22"/>
        </w:rPr>
      </w:pPr>
      <w:r w:rsidRPr="00D11C96">
        <w:rPr>
          <w:rFonts w:ascii="Garamond" w:hAnsi="Garamond"/>
          <w:sz w:val="22"/>
          <w:szCs w:val="22"/>
        </w:rPr>
        <w:t xml:space="preserve">Castro Gómez, S. (2020). </w:t>
      </w:r>
      <w:r w:rsidRPr="00D11C96">
        <w:rPr>
          <w:rFonts w:ascii="Garamond" w:hAnsi="Garamond"/>
          <w:i/>
          <w:iCs/>
          <w:sz w:val="22"/>
          <w:szCs w:val="22"/>
        </w:rPr>
        <w:t>El Lavado de Activos y el tráfico Ilegal de especies</w:t>
      </w:r>
      <w:r w:rsidRPr="00D11C96">
        <w:rPr>
          <w:rFonts w:ascii="Garamond" w:hAnsi="Garamond"/>
          <w:sz w:val="22"/>
          <w:szCs w:val="22"/>
        </w:rPr>
        <w:t xml:space="preserve">. Asobancaria. </w:t>
      </w:r>
      <w:hyperlink w:tgtFrame="_blank" w:history="1" r:id="rId37">
        <w:r w:rsidRPr="00D11C96">
          <w:rPr>
            <w:rStyle w:val="Hyperlink"/>
            <w:rFonts w:ascii="Garamond" w:hAnsi="Garamond"/>
            <w:sz w:val="22"/>
            <w:szCs w:val="22"/>
          </w:rPr>
          <w:t>https://www.asobancaria.com/wp-content/uploads/2020/11/1260VF.pdf</w:t>
        </w:r>
      </w:hyperlink>
    </w:p>
    <w:p w:rsidRPr="00D11C96" w:rsidR="004B2361" w:rsidP="00A1785B" w:rsidRDefault="004B2361" w14:paraId="3F76D8F2" w14:textId="1AD4D1C8">
      <w:pPr>
        <w:jc w:val="both"/>
        <w:rPr>
          <w:rFonts w:ascii="Garamond" w:hAnsi="Garamond"/>
          <w:sz w:val="22"/>
          <w:szCs w:val="22"/>
        </w:rPr>
      </w:pPr>
      <w:r w:rsidRPr="00D11C96">
        <w:rPr>
          <w:rFonts w:ascii="Garamond" w:hAnsi="Garamond"/>
          <w:sz w:val="22"/>
          <w:szCs w:val="22"/>
        </w:rPr>
        <w:t xml:space="preserve">Función Pública. (2021). </w:t>
      </w:r>
      <w:r w:rsidRPr="00D11C96">
        <w:rPr>
          <w:rFonts w:ascii="Garamond" w:hAnsi="Garamond"/>
          <w:i/>
          <w:iCs/>
          <w:sz w:val="22"/>
          <w:szCs w:val="22"/>
        </w:rPr>
        <w:t>Colombianos se han ahorrado $31.486 millones por racionalización de 729 trámites en lo corrido de 2021: Función Pública</w:t>
      </w:r>
      <w:r w:rsidRPr="00D11C96">
        <w:rPr>
          <w:rFonts w:ascii="Garamond" w:hAnsi="Garamond"/>
          <w:sz w:val="22"/>
          <w:szCs w:val="22"/>
        </w:rPr>
        <w:t xml:space="preserve">. Recuperado de </w:t>
      </w:r>
      <w:hyperlink w:tgtFrame="_blank" w:history="1" r:id="rId38">
        <w:r w:rsidRPr="00D11C96">
          <w:rPr>
            <w:rStyle w:val="Hyperlink"/>
            <w:rFonts w:ascii="Garamond" w:hAnsi="Garamond"/>
            <w:sz w:val="22"/>
            <w:szCs w:val="22"/>
          </w:rPr>
          <w:t>https://www1.funcionpublica.gov.co/-/colombianos-se-han-ahorrado-31.486-millones-por-racionalizaci%C3%B3n-de-729-tr%C3%A1mites-en-lo-corrido-de-2021-funci%C3%B3n-p%C3%BAblica#:~:text=Colombianos%20se%20han%20ahorrado%20$31.486,2021:%20Funci%C3%B3n%20P%C3%BAblica%20-%20Funci%C3%B3n%20P%C3%BAblica</w:t>
        </w:r>
      </w:hyperlink>
    </w:p>
    <w:p w:rsidRPr="00900230" w:rsidR="004B2361" w:rsidP="00A1785B" w:rsidRDefault="004B2361" w14:paraId="33A7147F" w14:textId="071A0C2D">
      <w:pPr>
        <w:jc w:val="both"/>
        <w:rPr>
          <w:rFonts w:ascii="Garamond" w:hAnsi="Garamond"/>
          <w:sz w:val="22"/>
          <w:szCs w:val="22"/>
        </w:rPr>
      </w:pPr>
      <w:r w:rsidRPr="00D11C96">
        <w:rPr>
          <w:rFonts w:ascii="Garamond" w:hAnsi="Garamond"/>
          <w:sz w:val="22"/>
          <w:szCs w:val="22"/>
        </w:rPr>
        <w:t xml:space="preserve">Martínez-Cárdenas, R. A., García-Gutiérrez, C. A., &amp; Agudelo-Giraldo, O. D. (2020). Impacto de las TIC en la gestión empresarial. </w:t>
      </w:r>
      <w:r w:rsidRPr="00D11C96">
        <w:rPr>
          <w:rFonts w:ascii="Garamond" w:hAnsi="Garamond"/>
          <w:i/>
          <w:iCs/>
          <w:sz w:val="22"/>
          <w:szCs w:val="22"/>
        </w:rPr>
        <w:t>Revista CEA</w:t>
      </w:r>
      <w:r w:rsidRPr="00D11C96">
        <w:rPr>
          <w:rFonts w:ascii="Garamond" w:hAnsi="Garamond"/>
          <w:sz w:val="22"/>
          <w:szCs w:val="22"/>
        </w:rPr>
        <w:t xml:space="preserve">, </w:t>
      </w:r>
      <w:r w:rsidRPr="00D11C96">
        <w:rPr>
          <w:rFonts w:ascii="Garamond" w:hAnsi="Garamond"/>
          <w:i/>
          <w:iCs/>
          <w:sz w:val="22"/>
          <w:szCs w:val="22"/>
        </w:rPr>
        <w:t>6</w:t>
      </w:r>
      <w:r w:rsidRPr="00D11C96">
        <w:rPr>
          <w:rFonts w:ascii="Garamond" w:hAnsi="Garamond"/>
          <w:sz w:val="22"/>
          <w:szCs w:val="22"/>
        </w:rPr>
        <w:t xml:space="preserve">(12), 173-189. </w:t>
      </w:r>
      <w:hyperlink w:tgtFrame="_blank" w:history="1" r:id="rId39">
        <w:r w:rsidRPr="00D11C96">
          <w:rPr>
            <w:rStyle w:val="Hyperlink"/>
            <w:rFonts w:ascii="Garamond" w:hAnsi="Garamond"/>
            <w:sz w:val="22"/>
            <w:szCs w:val="22"/>
          </w:rPr>
          <w:t>http://www.scielo.org.co/scielo.php?script=sci_arttext&amp;pid=S1909-44502020000200021</w:t>
        </w:r>
      </w:hyperlink>
      <w:bookmarkEnd w:id="0"/>
    </w:p>
    <w:sectPr w:rsidRPr="00900230" w:rsidR="004B236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46AA" w:rsidP="00EB46AA" w:rsidRDefault="00EB46AA" w14:paraId="3BEB28F2" w14:textId="77777777">
      <w:pPr>
        <w:spacing w:after="0" w:line="240" w:lineRule="auto"/>
      </w:pPr>
      <w:r>
        <w:separator/>
      </w:r>
    </w:p>
  </w:endnote>
  <w:endnote w:type="continuationSeparator" w:id="0">
    <w:p w:rsidR="00EB46AA" w:rsidP="00EB46AA" w:rsidRDefault="00EB46AA" w14:paraId="053FA3F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46AA" w:rsidP="00EB46AA" w:rsidRDefault="00EB46AA" w14:paraId="28A7CA06" w14:textId="77777777">
      <w:pPr>
        <w:spacing w:after="0" w:line="240" w:lineRule="auto"/>
      </w:pPr>
      <w:r>
        <w:separator/>
      </w:r>
    </w:p>
  </w:footnote>
  <w:footnote w:type="continuationSeparator" w:id="0">
    <w:p w:rsidR="00EB46AA" w:rsidP="00EB46AA" w:rsidRDefault="00EB46AA" w14:paraId="67997C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0193"/>
    <w:multiLevelType w:val="hybridMultilevel"/>
    <w:tmpl w:val="2FC62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312DE6"/>
    <w:multiLevelType w:val="hybridMultilevel"/>
    <w:tmpl w:val="447E2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3119D"/>
    <w:multiLevelType w:val="hybridMultilevel"/>
    <w:tmpl w:val="EE106B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1B33CD2"/>
    <w:multiLevelType w:val="hybridMultilevel"/>
    <w:tmpl w:val="E62476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FE3CCC"/>
    <w:multiLevelType w:val="hybridMultilevel"/>
    <w:tmpl w:val="E618D9A0"/>
    <w:lvl w:ilvl="0" w:tplc="656E8DDE">
      <w:start w:val="7"/>
      <w:numFmt w:val="bullet"/>
      <w:lvlText w:val="-"/>
      <w:lvlJc w:val="left"/>
      <w:pPr>
        <w:ind w:left="720" w:hanging="360"/>
      </w:pPr>
      <w:rPr>
        <w:rFonts w:hint="default" w:ascii="Garamond" w:hAnsi="Garamond"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170080"/>
    <w:multiLevelType w:val="hybridMultilevel"/>
    <w:tmpl w:val="03A4014C"/>
    <w:lvl w:ilvl="0" w:tplc="940CF484">
      <w:numFmt w:val="bullet"/>
      <w:lvlText w:val="•"/>
      <w:lvlJc w:val="left"/>
      <w:pPr>
        <w:ind w:left="720" w:hanging="360"/>
      </w:pPr>
      <w:rPr>
        <w:rFonts w:hint="default" w:ascii="Garamond" w:hAnsi="Garamond" w:cs="Garamond"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1126897"/>
    <w:multiLevelType w:val="hybridMultilevel"/>
    <w:tmpl w:val="1D20D6CE"/>
    <w:lvl w:ilvl="0" w:tplc="9A3695FA">
      <w:start w:val="7"/>
      <w:numFmt w:val="bullet"/>
      <w:lvlText w:val="-"/>
      <w:lvlJc w:val="left"/>
      <w:pPr>
        <w:ind w:left="720" w:hanging="360"/>
      </w:pPr>
      <w:rPr>
        <w:rFonts w:hint="default" w:ascii="Garamond" w:hAnsi="Garamond"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03936C2"/>
    <w:multiLevelType w:val="hybridMultilevel"/>
    <w:tmpl w:val="F0884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333175"/>
    <w:multiLevelType w:val="hybridMultilevel"/>
    <w:tmpl w:val="2B7218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C5129CC"/>
    <w:multiLevelType w:val="hybridMultilevel"/>
    <w:tmpl w:val="600291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CE90A0B"/>
    <w:multiLevelType w:val="hybridMultilevel"/>
    <w:tmpl w:val="16C8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5A536F"/>
    <w:multiLevelType w:val="hybridMultilevel"/>
    <w:tmpl w:val="2F60CB94"/>
    <w:lvl w:ilvl="0" w:tplc="940CF484">
      <w:numFmt w:val="bullet"/>
      <w:lvlText w:val="•"/>
      <w:lvlJc w:val="left"/>
      <w:pPr>
        <w:ind w:left="1080" w:hanging="360"/>
      </w:pPr>
      <w:rPr>
        <w:rFonts w:hint="default" w:ascii="Garamond" w:hAnsi="Garamond" w:cs="Garamond"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41214B82"/>
    <w:multiLevelType w:val="hybridMultilevel"/>
    <w:tmpl w:val="09B26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2406477"/>
    <w:multiLevelType w:val="hybridMultilevel"/>
    <w:tmpl w:val="F34A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3DD3E26"/>
    <w:multiLevelType w:val="hybridMultilevel"/>
    <w:tmpl w:val="F8BE28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1CB3099"/>
    <w:multiLevelType w:val="hybridMultilevel"/>
    <w:tmpl w:val="D9401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515C5E"/>
    <w:multiLevelType w:val="hybridMultilevel"/>
    <w:tmpl w:val="A8BA7BC0"/>
    <w:lvl w:ilvl="0" w:tplc="940CF484">
      <w:numFmt w:val="bullet"/>
      <w:lvlText w:val="•"/>
      <w:lvlJc w:val="left"/>
      <w:pPr>
        <w:ind w:left="1080" w:hanging="360"/>
      </w:pPr>
      <w:rPr>
        <w:rFonts w:hint="default" w:ascii="Garamond" w:hAnsi="Garamond" w:cs="Garamond"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5E0F1FEB"/>
    <w:multiLevelType w:val="hybridMultilevel"/>
    <w:tmpl w:val="6C2A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55055"/>
    <w:multiLevelType w:val="multilevel"/>
    <w:tmpl w:val="A822CBAA"/>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3"/>
      <w:numFmt w:val="decimal"/>
      <w:isLgl/>
      <w:lvlText w:val="%1.%2.%3.%4."/>
      <w:lvlJc w:val="left"/>
      <w:pPr>
        <w:ind w:left="1440" w:hanging="108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7904FC3"/>
    <w:multiLevelType w:val="hybridMultilevel"/>
    <w:tmpl w:val="1BF0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ED1E49"/>
    <w:multiLevelType w:val="hybridMultilevel"/>
    <w:tmpl w:val="1C86B1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1E0005E"/>
    <w:multiLevelType w:val="hybridMultilevel"/>
    <w:tmpl w:val="B2B8CC50"/>
    <w:lvl w:ilvl="0" w:tplc="4A0ABEAE">
      <w:numFmt w:val="bullet"/>
      <w:lvlText w:val="-"/>
      <w:lvlJc w:val="left"/>
      <w:pPr>
        <w:ind w:left="720" w:hanging="360"/>
      </w:pPr>
      <w:rPr>
        <w:rFonts w:hint="default" w:ascii="Garamond" w:hAnsi="Garamond"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5980A88"/>
    <w:multiLevelType w:val="hybridMultilevel"/>
    <w:tmpl w:val="00529EE8"/>
    <w:lvl w:ilvl="0" w:tplc="8DCA296A">
      <w:start w:val="3"/>
      <w:numFmt w:val="bullet"/>
      <w:lvlText w:val="•"/>
      <w:lvlJc w:val="left"/>
      <w:pPr>
        <w:ind w:left="720" w:hanging="360"/>
      </w:pPr>
      <w:rPr>
        <w:rFonts w:hint="default" w:ascii="Garamond" w:hAnsi="Garamond"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109226454">
    <w:abstractNumId w:val="20"/>
  </w:num>
  <w:num w:numId="2" w16cid:durableId="1559899359">
    <w:abstractNumId w:val="7"/>
  </w:num>
  <w:num w:numId="3" w16cid:durableId="1379864692">
    <w:abstractNumId w:val="17"/>
  </w:num>
  <w:num w:numId="4" w16cid:durableId="2011785155">
    <w:abstractNumId w:val="15"/>
  </w:num>
  <w:num w:numId="5" w16cid:durableId="721059419">
    <w:abstractNumId w:val="14"/>
  </w:num>
  <w:num w:numId="6" w16cid:durableId="1136290831">
    <w:abstractNumId w:val="22"/>
  </w:num>
  <w:num w:numId="7" w16cid:durableId="767044059">
    <w:abstractNumId w:val="0"/>
  </w:num>
  <w:num w:numId="8" w16cid:durableId="586309999">
    <w:abstractNumId w:val="21"/>
  </w:num>
  <w:num w:numId="9" w16cid:durableId="24252990">
    <w:abstractNumId w:val="10"/>
  </w:num>
  <w:num w:numId="10" w16cid:durableId="257177881">
    <w:abstractNumId w:val="1"/>
  </w:num>
  <w:num w:numId="11" w16cid:durableId="1282802174">
    <w:abstractNumId w:val="2"/>
  </w:num>
  <w:num w:numId="12" w16cid:durableId="1228225087">
    <w:abstractNumId w:val="12"/>
  </w:num>
  <w:num w:numId="13" w16cid:durableId="1772116749">
    <w:abstractNumId w:val="5"/>
  </w:num>
  <w:num w:numId="14" w16cid:durableId="1755738739">
    <w:abstractNumId w:val="18"/>
  </w:num>
  <w:num w:numId="15" w16cid:durableId="616371102">
    <w:abstractNumId w:val="11"/>
  </w:num>
  <w:num w:numId="16" w16cid:durableId="947270554">
    <w:abstractNumId w:val="16"/>
  </w:num>
  <w:num w:numId="17" w16cid:durableId="39400846">
    <w:abstractNumId w:val="3"/>
  </w:num>
  <w:num w:numId="18" w16cid:durableId="1037776293">
    <w:abstractNumId w:val="4"/>
  </w:num>
  <w:num w:numId="19" w16cid:durableId="1974407757">
    <w:abstractNumId w:val="6"/>
  </w:num>
  <w:num w:numId="20" w16cid:durableId="1776293640">
    <w:abstractNumId w:val="13"/>
  </w:num>
  <w:num w:numId="21" w16cid:durableId="1500343069">
    <w:abstractNumId w:val="19"/>
  </w:num>
  <w:num w:numId="22" w16cid:durableId="1709262523">
    <w:abstractNumId w:val="9"/>
  </w:num>
  <w:num w:numId="23" w16cid:durableId="209855037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86"/>
    <w:rsid w:val="000019DD"/>
    <w:rsid w:val="00003A54"/>
    <w:rsid w:val="00006607"/>
    <w:rsid w:val="00006AC9"/>
    <w:rsid w:val="00012A54"/>
    <w:rsid w:val="00013911"/>
    <w:rsid w:val="000215D0"/>
    <w:rsid w:val="00024649"/>
    <w:rsid w:val="000264CD"/>
    <w:rsid w:val="00030BA0"/>
    <w:rsid w:val="00046D4B"/>
    <w:rsid w:val="00056037"/>
    <w:rsid w:val="00063D47"/>
    <w:rsid w:val="00065DCA"/>
    <w:rsid w:val="00071D6B"/>
    <w:rsid w:val="0007705D"/>
    <w:rsid w:val="00080D37"/>
    <w:rsid w:val="0008128D"/>
    <w:rsid w:val="0008326F"/>
    <w:rsid w:val="000A0285"/>
    <w:rsid w:val="000B49EC"/>
    <w:rsid w:val="000C25ED"/>
    <w:rsid w:val="000C2AD6"/>
    <w:rsid w:val="000C4708"/>
    <w:rsid w:val="000C5FBC"/>
    <w:rsid w:val="000C79BD"/>
    <w:rsid w:val="000C7FA7"/>
    <w:rsid w:val="000D018F"/>
    <w:rsid w:val="000D0BAC"/>
    <w:rsid w:val="000D2BE9"/>
    <w:rsid w:val="000D3DFB"/>
    <w:rsid w:val="000D6F00"/>
    <w:rsid w:val="000E2394"/>
    <w:rsid w:val="000F4DA0"/>
    <w:rsid w:val="000F650C"/>
    <w:rsid w:val="001032D4"/>
    <w:rsid w:val="00107ED7"/>
    <w:rsid w:val="0011002E"/>
    <w:rsid w:val="00110B11"/>
    <w:rsid w:val="0011421D"/>
    <w:rsid w:val="00121090"/>
    <w:rsid w:val="00127BC7"/>
    <w:rsid w:val="001336F6"/>
    <w:rsid w:val="00135F6D"/>
    <w:rsid w:val="00140218"/>
    <w:rsid w:val="00141BAA"/>
    <w:rsid w:val="001441CD"/>
    <w:rsid w:val="0015282B"/>
    <w:rsid w:val="00154CF7"/>
    <w:rsid w:val="0016106D"/>
    <w:rsid w:val="00167014"/>
    <w:rsid w:val="0017078B"/>
    <w:rsid w:val="00184C52"/>
    <w:rsid w:val="00186079"/>
    <w:rsid w:val="00194D0C"/>
    <w:rsid w:val="00196A4D"/>
    <w:rsid w:val="00196E39"/>
    <w:rsid w:val="001A0F01"/>
    <w:rsid w:val="001A32E3"/>
    <w:rsid w:val="001B40F4"/>
    <w:rsid w:val="001B46CA"/>
    <w:rsid w:val="001B7199"/>
    <w:rsid w:val="001C6071"/>
    <w:rsid w:val="001C61DA"/>
    <w:rsid w:val="001D0E36"/>
    <w:rsid w:val="001D229A"/>
    <w:rsid w:val="001E706D"/>
    <w:rsid w:val="001E7ECA"/>
    <w:rsid w:val="001F2096"/>
    <w:rsid w:val="002051B7"/>
    <w:rsid w:val="00207B5A"/>
    <w:rsid w:val="00210575"/>
    <w:rsid w:val="00212EF4"/>
    <w:rsid w:val="00213784"/>
    <w:rsid w:val="00216BDC"/>
    <w:rsid w:val="002175EC"/>
    <w:rsid w:val="002248BB"/>
    <w:rsid w:val="00227665"/>
    <w:rsid w:val="00242AC3"/>
    <w:rsid w:val="00247049"/>
    <w:rsid w:val="00247AC1"/>
    <w:rsid w:val="00250DA4"/>
    <w:rsid w:val="002544EC"/>
    <w:rsid w:val="00267AC0"/>
    <w:rsid w:val="00273A85"/>
    <w:rsid w:val="002741E2"/>
    <w:rsid w:val="00274A12"/>
    <w:rsid w:val="0027579F"/>
    <w:rsid w:val="002775FB"/>
    <w:rsid w:val="00283CCC"/>
    <w:rsid w:val="00285E16"/>
    <w:rsid w:val="002944D7"/>
    <w:rsid w:val="00295163"/>
    <w:rsid w:val="002C1E37"/>
    <w:rsid w:val="002D3430"/>
    <w:rsid w:val="002D4EC1"/>
    <w:rsid w:val="002D5D7B"/>
    <w:rsid w:val="002E048C"/>
    <w:rsid w:val="002E1E34"/>
    <w:rsid w:val="002E216B"/>
    <w:rsid w:val="002E4B6F"/>
    <w:rsid w:val="002F698B"/>
    <w:rsid w:val="00306E3E"/>
    <w:rsid w:val="00326B72"/>
    <w:rsid w:val="00340F68"/>
    <w:rsid w:val="0034271A"/>
    <w:rsid w:val="00345F3E"/>
    <w:rsid w:val="00352E76"/>
    <w:rsid w:val="00355C16"/>
    <w:rsid w:val="00374137"/>
    <w:rsid w:val="00376B0E"/>
    <w:rsid w:val="0039423B"/>
    <w:rsid w:val="00396E89"/>
    <w:rsid w:val="003B34EB"/>
    <w:rsid w:val="003B6974"/>
    <w:rsid w:val="003C1069"/>
    <w:rsid w:val="003C3CAD"/>
    <w:rsid w:val="003C6D3D"/>
    <w:rsid w:val="003D355C"/>
    <w:rsid w:val="003F34AC"/>
    <w:rsid w:val="003F7950"/>
    <w:rsid w:val="0040024E"/>
    <w:rsid w:val="00403B10"/>
    <w:rsid w:val="004075C3"/>
    <w:rsid w:val="00414610"/>
    <w:rsid w:val="0041509E"/>
    <w:rsid w:val="0042349A"/>
    <w:rsid w:val="00424E6E"/>
    <w:rsid w:val="00425653"/>
    <w:rsid w:val="00430100"/>
    <w:rsid w:val="00434CC5"/>
    <w:rsid w:val="00436EFD"/>
    <w:rsid w:val="0043772C"/>
    <w:rsid w:val="0045048B"/>
    <w:rsid w:val="00463CEE"/>
    <w:rsid w:val="00471FF0"/>
    <w:rsid w:val="004907D1"/>
    <w:rsid w:val="00496997"/>
    <w:rsid w:val="004A72C7"/>
    <w:rsid w:val="004B020A"/>
    <w:rsid w:val="004B2361"/>
    <w:rsid w:val="004B2529"/>
    <w:rsid w:val="004B29B9"/>
    <w:rsid w:val="004B63F8"/>
    <w:rsid w:val="004C03CE"/>
    <w:rsid w:val="004D2718"/>
    <w:rsid w:val="004D514C"/>
    <w:rsid w:val="004E17EE"/>
    <w:rsid w:val="004E37E6"/>
    <w:rsid w:val="004E7213"/>
    <w:rsid w:val="004F16F8"/>
    <w:rsid w:val="004F56D8"/>
    <w:rsid w:val="00514029"/>
    <w:rsid w:val="0051590B"/>
    <w:rsid w:val="00515ED2"/>
    <w:rsid w:val="0051673D"/>
    <w:rsid w:val="00516F67"/>
    <w:rsid w:val="005200DF"/>
    <w:rsid w:val="00521D4D"/>
    <w:rsid w:val="00522564"/>
    <w:rsid w:val="00527518"/>
    <w:rsid w:val="005609E7"/>
    <w:rsid w:val="00573EDC"/>
    <w:rsid w:val="00580AB2"/>
    <w:rsid w:val="005817C9"/>
    <w:rsid w:val="00590A33"/>
    <w:rsid w:val="005911C6"/>
    <w:rsid w:val="00591C92"/>
    <w:rsid w:val="005A0AA1"/>
    <w:rsid w:val="005A6FE2"/>
    <w:rsid w:val="005B0330"/>
    <w:rsid w:val="005C019E"/>
    <w:rsid w:val="005C1E2E"/>
    <w:rsid w:val="005C78D2"/>
    <w:rsid w:val="005D272B"/>
    <w:rsid w:val="005D5662"/>
    <w:rsid w:val="005E452B"/>
    <w:rsid w:val="005E6B22"/>
    <w:rsid w:val="005F52A4"/>
    <w:rsid w:val="0060494E"/>
    <w:rsid w:val="00612B8A"/>
    <w:rsid w:val="00615FB4"/>
    <w:rsid w:val="0062295A"/>
    <w:rsid w:val="00627A29"/>
    <w:rsid w:val="00645AF0"/>
    <w:rsid w:val="006532FA"/>
    <w:rsid w:val="00664C79"/>
    <w:rsid w:val="00672E0F"/>
    <w:rsid w:val="006806D8"/>
    <w:rsid w:val="00684CB1"/>
    <w:rsid w:val="006935A2"/>
    <w:rsid w:val="00697168"/>
    <w:rsid w:val="006B25C4"/>
    <w:rsid w:val="006C142C"/>
    <w:rsid w:val="006D10CE"/>
    <w:rsid w:val="006D3640"/>
    <w:rsid w:val="006E2015"/>
    <w:rsid w:val="006E2525"/>
    <w:rsid w:val="006E5CF5"/>
    <w:rsid w:val="006F03AC"/>
    <w:rsid w:val="006F5948"/>
    <w:rsid w:val="007017CC"/>
    <w:rsid w:val="0070288E"/>
    <w:rsid w:val="00711D02"/>
    <w:rsid w:val="00712E75"/>
    <w:rsid w:val="007277B1"/>
    <w:rsid w:val="00744984"/>
    <w:rsid w:val="00750EC8"/>
    <w:rsid w:val="00752604"/>
    <w:rsid w:val="00763F7F"/>
    <w:rsid w:val="00770983"/>
    <w:rsid w:val="00772695"/>
    <w:rsid w:val="007824F2"/>
    <w:rsid w:val="00785194"/>
    <w:rsid w:val="007934D9"/>
    <w:rsid w:val="007A2E70"/>
    <w:rsid w:val="007B3526"/>
    <w:rsid w:val="007B3FB5"/>
    <w:rsid w:val="007B6930"/>
    <w:rsid w:val="007D208C"/>
    <w:rsid w:val="007D2FDD"/>
    <w:rsid w:val="007E5116"/>
    <w:rsid w:val="007F512A"/>
    <w:rsid w:val="007F7C70"/>
    <w:rsid w:val="0080727C"/>
    <w:rsid w:val="00831731"/>
    <w:rsid w:val="008445E8"/>
    <w:rsid w:val="00846C05"/>
    <w:rsid w:val="00856575"/>
    <w:rsid w:val="00861E7C"/>
    <w:rsid w:val="00861FC7"/>
    <w:rsid w:val="00862B4C"/>
    <w:rsid w:val="008844E0"/>
    <w:rsid w:val="008870C3"/>
    <w:rsid w:val="00893A66"/>
    <w:rsid w:val="00897419"/>
    <w:rsid w:val="008B05A6"/>
    <w:rsid w:val="008B6CFA"/>
    <w:rsid w:val="008C6877"/>
    <w:rsid w:val="008D5A04"/>
    <w:rsid w:val="008D5AC6"/>
    <w:rsid w:val="008F2EA1"/>
    <w:rsid w:val="00900230"/>
    <w:rsid w:val="0090119C"/>
    <w:rsid w:val="00903B7E"/>
    <w:rsid w:val="0090578C"/>
    <w:rsid w:val="009150A8"/>
    <w:rsid w:val="0092010A"/>
    <w:rsid w:val="009232B8"/>
    <w:rsid w:val="00925DEB"/>
    <w:rsid w:val="00933CC4"/>
    <w:rsid w:val="009354FD"/>
    <w:rsid w:val="00937A47"/>
    <w:rsid w:val="009456C3"/>
    <w:rsid w:val="00955EB3"/>
    <w:rsid w:val="0096108F"/>
    <w:rsid w:val="0096137C"/>
    <w:rsid w:val="00963284"/>
    <w:rsid w:val="00972B24"/>
    <w:rsid w:val="00986293"/>
    <w:rsid w:val="00993D52"/>
    <w:rsid w:val="009A0D43"/>
    <w:rsid w:val="009A47F9"/>
    <w:rsid w:val="009A5F19"/>
    <w:rsid w:val="009B7AB4"/>
    <w:rsid w:val="009C4AFB"/>
    <w:rsid w:val="009D04FC"/>
    <w:rsid w:val="009D497A"/>
    <w:rsid w:val="009E4C82"/>
    <w:rsid w:val="009F1170"/>
    <w:rsid w:val="009F2DD2"/>
    <w:rsid w:val="009F59B7"/>
    <w:rsid w:val="009F7C38"/>
    <w:rsid w:val="00A04C85"/>
    <w:rsid w:val="00A12A99"/>
    <w:rsid w:val="00A16474"/>
    <w:rsid w:val="00A1785B"/>
    <w:rsid w:val="00A21702"/>
    <w:rsid w:val="00A23565"/>
    <w:rsid w:val="00A32B1F"/>
    <w:rsid w:val="00A34C04"/>
    <w:rsid w:val="00A4203C"/>
    <w:rsid w:val="00A45750"/>
    <w:rsid w:val="00A470AD"/>
    <w:rsid w:val="00A518A2"/>
    <w:rsid w:val="00A54CC4"/>
    <w:rsid w:val="00A604D4"/>
    <w:rsid w:val="00A63D40"/>
    <w:rsid w:val="00A7233C"/>
    <w:rsid w:val="00A76C74"/>
    <w:rsid w:val="00A818F7"/>
    <w:rsid w:val="00A81D81"/>
    <w:rsid w:val="00A86513"/>
    <w:rsid w:val="00A970A1"/>
    <w:rsid w:val="00AA4EAD"/>
    <w:rsid w:val="00AA7BD8"/>
    <w:rsid w:val="00AA7ED7"/>
    <w:rsid w:val="00AB4B17"/>
    <w:rsid w:val="00AC1C29"/>
    <w:rsid w:val="00AC1D57"/>
    <w:rsid w:val="00AC6103"/>
    <w:rsid w:val="00AD0514"/>
    <w:rsid w:val="00AE06CD"/>
    <w:rsid w:val="00AE5381"/>
    <w:rsid w:val="00AF15B3"/>
    <w:rsid w:val="00AF220B"/>
    <w:rsid w:val="00AF3372"/>
    <w:rsid w:val="00B000EB"/>
    <w:rsid w:val="00B10412"/>
    <w:rsid w:val="00B1215E"/>
    <w:rsid w:val="00B16113"/>
    <w:rsid w:val="00B215F0"/>
    <w:rsid w:val="00B2467E"/>
    <w:rsid w:val="00B25857"/>
    <w:rsid w:val="00B26A81"/>
    <w:rsid w:val="00B27365"/>
    <w:rsid w:val="00B3157E"/>
    <w:rsid w:val="00B331A4"/>
    <w:rsid w:val="00B35EB7"/>
    <w:rsid w:val="00B46C69"/>
    <w:rsid w:val="00B564EE"/>
    <w:rsid w:val="00B57A3F"/>
    <w:rsid w:val="00B6398F"/>
    <w:rsid w:val="00B65B90"/>
    <w:rsid w:val="00B769A4"/>
    <w:rsid w:val="00B817E3"/>
    <w:rsid w:val="00B86EAD"/>
    <w:rsid w:val="00B91775"/>
    <w:rsid w:val="00B91DDB"/>
    <w:rsid w:val="00BA15FB"/>
    <w:rsid w:val="00BA49C2"/>
    <w:rsid w:val="00BC04DC"/>
    <w:rsid w:val="00BC05C3"/>
    <w:rsid w:val="00BC433B"/>
    <w:rsid w:val="00BC63FD"/>
    <w:rsid w:val="00BD250D"/>
    <w:rsid w:val="00BE1238"/>
    <w:rsid w:val="00BE62E1"/>
    <w:rsid w:val="00C00AB3"/>
    <w:rsid w:val="00C07FE2"/>
    <w:rsid w:val="00C10A4D"/>
    <w:rsid w:val="00C128AC"/>
    <w:rsid w:val="00C20E0F"/>
    <w:rsid w:val="00C263B7"/>
    <w:rsid w:val="00C359CB"/>
    <w:rsid w:val="00C3600D"/>
    <w:rsid w:val="00C41195"/>
    <w:rsid w:val="00C41F9F"/>
    <w:rsid w:val="00C57362"/>
    <w:rsid w:val="00C618B0"/>
    <w:rsid w:val="00C63E89"/>
    <w:rsid w:val="00C6622D"/>
    <w:rsid w:val="00C761BC"/>
    <w:rsid w:val="00C85875"/>
    <w:rsid w:val="00C91868"/>
    <w:rsid w:val="00C9482A"/>
    <w:rsid w:val="00C9655D"/>
    <w:rsid w:val="00CA0E5C"/>
    <w:rsid w:val="00CA5477"/>
    <w:rsid w:val="00CB375F"/>
    <w:rsid w:val="00CB475B"/>
    <w:rsid w:val="00CC3BE6"/>
    <w:rsid w:val="00CD2C66"/>
    <w:rsid w:val="00CD6C4F"/>
    <w:rsid w:val="00CE0449"/>
    <w:rsid w:val="00CE2A1D"/>
    <w:rsid w:val="00CF2C1F"/>
    <w:rsid w:val="00CF373C"/>
    <w:rsid w:val="00CF5B58"/>
    <w:rsid w:val="00D0524C"/>
    <w:rsid w:val="00D11C96"/>
    <w:rsid w:val="00D157CE"/>
    <w:rsid w:val="00D22566"/>
    <w:rsid w:val="00D226FB"/>
    <w:rsid w:val="00D26108"/>
    <w:rsid w:val="00D343F6"/>
    <w:rsid w:val="00D357CA"/>
    <w:rsid w:val="00D42B11"/>
    <w:rsid w:val="00D46BF5"/>
    <w:rsid w:val="00D52A0E"/>
    <w:rsid w:val="00D60F8D"/>
    <w:rsid w:val="00D6385B"/>
    <w:rsid w:val="00D72751"/>
    <w:rsid w:val="00D72A3C"/>
    <w:rsid w:val="00D73589"/>
    <w:rsid w:val="00D76ED7"/>
    <w:rsid w:val="00D809F0"/>
    <w:rsid w:val="00D80AB9"/>
    <w:rsid w:val="00D8195A"/>
    <w:rsid w:val="00D828FC"/>
    <w:rsid w:val="00D86CAD"/>
    <w:rsid w:val="00D86E1D"/>
    <w:rsid w:val="00D91919"/>
    <w:rsid w:val="00D91BA3"/>
    <w:rsid w:val="00D9426A"/>
    <w:rsid w:val="00DA09C7"/>
    <w:rsid w:val="00DA2213"/>
    <w:rsid w:val="00DA44ED"/>
    <w:rsid w:val="00DB342B"/>
    <w:rsid w:val="00DB6FA6"/>
    <w:rsid w:val="00DC0362"/>
    <w:rsid w:val="00DD391A"/>
    <w:rsid w:val="00DD77D7"/>
    <w:rsid w:val="00DF1D74"/>
    <w:rsid w:val="00DF46F2"/>
    <w:rsid w:val="00DF5208"/>
    <w:rsid w:val="00E021A4"/>
    <w:rsid w:val="00E1012C"/>
    <w:rsid w:val="00E13E50"/>
    <w:rsid w:val="00E20808"/>
    <w:rsid w:val="00E21CAC"/>
    <w:rsid w:val="00E3110D"/>
    <w:rsid w:val="00E328ED"/>
    <w:rsid w:val="00E32B11"/>
    <w:rsid w:val="00E34632"/>
    <w:rsid w:val="00E37D4E"/>
    <w:rsid w:val="00E41C2A"/>
    <w:rsid w:val="00E46D62"/>
    <w:rsid w:val="00E523E0"/>
    <w:rsid w:val="00E61D1A"/>
    <w:rsid w:val="00E623DC"/>
    <w:rsid w:val="00E62E1E"/>
    <w:rsid w:val="00E66113"/>
    <w:rsid w:val="00E67BA0"/>
    <w:rsid w:val="00EA43CA"/>
    <w:rsid w:val="00EA46FA"/>
    <w:rsid w:val="00EB46AA"/>
    <w:rsid w:val="00EB6C48"/>
    <w:rsid w:val="00EC1F16"/>
    <w:rsid w:val="00EC3426"/>
    <w:rsid w:val="00ED2F0C"/>
    <w:rsid w:val="00ED3D14"/>
    <w:rsid w:val="00EE7A8E"/>
    <w:rsid w:val="00EF4B86"/>
    <w:rsid w:val="00F00A01"/>
    <w:rsid w:val="00F05597"/>
    <w:rsid w:val="00F072F5"/>
    <w:rsid w:val="00F22035"/>
    <w:rsid w:val="00F25316"/>
    <w:rsid w:val="00F35B4B"/>
    <w:rsid w:val="00F368D9"/>
    <w:rsid w:val="00F40B8B"/>
    <w:rsid w:val="00F4708E"/>
    <w:rsid w:val="00F601D9"/>
    <w:rsid w:val="00F61CC8"/>
    <w:rsid w:val="00F6339A"/>
    <w:rsid w:val="00F72956"/>
    <w:rsid w:val="00F85B8D"/>
    <w:rsid w:val="00F87130"/>
    <w:rsid w:val="00F90AE9"/>
    <w:rsid w:val="00F93C82"/>
    <w:rsid w:val="00F97F58"/>
    <w:rsid w:val="00FA11C6"/>
    <w:rsid w:val="00FA2ED7"/>
    <w:rsid w:val="00FA4D77"/>
    <w:rsid w:val="00FA55D4"/>
    <w:rsid w:val="00FB6425"/>
    <w:rsid w:val="00FC1991"/>
    <w:rsid w:val="00FC3751"/>
    <w:rsid w:val="00FC4C62"/>
    <w:rsid w:val="00FD135C"/>
    <w:rsid w:val="00FD3FB4"/>
    <w:rsid w:val="00FD4256"/>
    <w:rsid w:val="00FE0764"/>
    <w:rsid w:val="00FE455A"/>
    <w:rsid w:val="00FE67DE"/>
    <w:rsid w:val="00FE7243"/>
    <w:rsid w:val="00FF0B6C"/>
    <w:rsid w:val="00FF29EA"/>
    <w:rsid w:val="00FF32CE"/>
    <w:rsid w:val="00FF34DC"/>
    <w:rsid w:val="00FF71AA"/>
    <w:rsid w:val="00FF796F"/>
    <w:rsid w:val="00FF7FB8"/>
    <w:rsid w:val="03A24A06"/>
    <w:rsid w:val="05EC4466"/>
    <w:rsid w:val="139B1CFE"/>
    <w:rsid w:val="160C70DD"/>
    <w:rsid w:val="198BF2B9"/>
    <w:rsid w:val="1D22BAAC"/>
    <w:rsid w:val="1D364F95"/>
    <w:rsid w:val="243BA3AA"/>
    <w:rsid w:val="253D4893"/>
    <w:rsid w:val="2596A9E8"/>
    <w:rsid w:val="26649481"/>
    <w:rsid w:val="2828F8DA"/>
    <w:rsid w:val="2BD256FD"/>
    <w:rsid w:val="30A06AED"/>
    <w:rsid w:val="31F86DF0"/>
    <w:rsid w:val="3238AAB3"/>
    <w:rsid w:val="33B170A9"/>
    <w:rsid w:val="36CF9951"/>
    <w:rsid w:val="3E314D97"/>
    <w:rsid w:val="42F7266E"/>
    <w:rsid w:val="440C7577"/>
    <w:rsid w:val="449EB398"/>
    <w:rsid w:val="459D0B00"/>
    <w:rsid w:val="4CF041BC"/>
    <w:rsid w:val="4D09FDCC"/>
    <w:rsid w:val="4E53128F"/>
    <w:rsid w:val="4F0775AE"/>
    <w:rsid w:val="5200201C"/>
    <w:rsid w:val="526D1B3E"/>
    <w:rsid w:val="5708B577"/>
    <w:rsid w:val="57FBCDE2"/>
    <w:rsid w:val="5A524B98"/>
    <w:rsid w:val="6218A345"/>
    <w:rsid w:val="6249ADCD"/>
    <w:rsid w:val="62C3064A"/>
    <w:rsid w:val="65A1ED2F"/>
    <w:rsid w:val="670C7551"/>
    <w:rsid w:val="6A7822AF"/>
    <w:rsid w:val="75740CF1"/>
    <w:rsid w:val="75FF0F00"/>
    <w:rsid w:val="7ACD38D9"/>
    <w:rsid w:val="7D9704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5F158"/>
  <w15:chartTrackingRefBased/>
  <w15:docId w15:val="{24ACB451-8AAD-4F07-8588-4B05DA9EB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7FE2"/>
    <w:rPr>
      <w:lang w:val="es-CO"/>
    </w:rPr>
  </w:style>
  <w:style w:type="paragraph" w:styleId="Heading1">
    <w:name w:val="heading 1"/>
    <w:basedOn w:val="Normal"/>
    <w:next w:val="Normal"/>
    <w:link w:val="Heading1Char"/>
    <w:uiPriority w:val="9"/>
    <w:qFormat/>
    <w:rsid w:val="00EF4B8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F4B8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F4B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4B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4B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4B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4B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4B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4B8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F4B86"/>
    <w:rPr>
      <w:rFonts w:asciiTheme="majorHAnsi" w:hAnsiTheme="majorHAnsi" w:eastAsiaTheme="majorEastAsia" w:cstheme="majorBidi"/>
      <w:color w:val="0F4761" w:themeColor="accent1" w:themeShade="BF"/>
      <w:sz w:val="40"/>
      <w:szCs w:val="40"/>
      <w:lang w:val="es-CO"/>
    </w:rPr>
  </w:style>
  <w:style w:type="character" w:styleId="Heading2Char" w:customStyle="1">
    <w:name w:val="Heading 2 Char"/>
    <w:basedOn w:val="DefaultParagraphFont"/>
    <w:link w:val="Heading2"/>
    <w:uiPriority w:val="9"/>
    <w:rsid w:val="00EF4B86"/>
    <w:rPr>
      <w:rFonts w:asciiTheme="majorHAnsi" w:hAnsiTheme="majorHAnsi" w:eastAsiaTheme="majorEastAsia" w:cstheme="majorBidi"/>
      <w:color w:val="0F4761" w:themeColor="accent1" w:themeShade="BF"/>
      <w:sz w:val="32"/>
      <w:szCs w:val="32"/>
      <w:lang w:val="es-CO"/>
    </w:rPr>
  </w:style>
  <w:style w:type="character" w:styleId="Heading3Char" w:customStyle="1">
    <w:name w:val="Heading 3 Char"/>
    <w:basedOn w:val="DefaultParagraphFont"/>
    <w:link w:val="Heading3"/>
    <w:uiPriority w:val="9"/>
    <w:rsid w:val="00EF4B86"/>
    <w:rPr>
      <w:rFonts w:eastAsiaTheme="majorEastAsia" w:cstheme="majorBidi"/>
      <w:color w:val="0F4761" w:themeColor="accent1" w:themeShade="BF"/>
      <w:sz w:val="28"/>
      <w:szCs w:val="28"/>
      <w:lang w:val="es-CO"/>
    </w:rPr>
  </w:style>
  <w:style w:type="character" w:styleId="Heading4Char" w:customStyle="1">
    <w:name w:val="Heading 4 Char"/>
    <w:basedOn w:val="DefaultParagraphFont"/>
    <w:link w:val="Heading4"/>
    <w:uiPriority w:val="9"/>
    <w:semiHidden/>
    <w:rsid w:val="00EF4B86"/>
    <w:rPr>
      <w:rFonts w:eastAsiaTheme="majorEastAsia" w:cstheme="majorBidi"/>
      <w:i/>
      <w:iCs/>
      <w:color w:val="0F4761" w:themeColor="accent1" w:themeShade="BF"/>
      <w:lang w:val="es-CO"/>
    </w:rPr>
  </w:style>
  <w:style w:type="character" w:styleId="Heading5Char" w:customStyle="1">
    <w:name w:val="Heading 5 Char"/>
    <w:basedOn w:val="DefaultParagraphFont"/>
    <w:link w:val="Heading5"/>
    <w:uiPriority w:val="9"/>
    <w:semiHidden/>
    <w:rsid w:val="00EF4B86"/>
    <w:rPr>
      <w:rFonts w:eastAsiaTheme="majorEastAsia" w:cstheme="majorBidi"/>
      <w:color w:val="0F4761" w:themeColor="accent1" w:themeShade="BF"/>
      <w:lang w:val="es-CO"/>
    </w:rPr>
  </w:style>
  <w:style w:type="character" w:styleId="Heading6Char" w:customStyle="1">
    <w:name w:val="Heading 6 Char"/>
    <w:basedOn w:val="DefaultParagraphFont"/>
    <w:link w:val="Heading6"/>
    <w:uiPriority w:val="9"/>
    <w:semiHidden/>
    <w:rsid w:val="00EF4B86"/>
    <w:rPr>
      <w:rFonts w:eastAsiaTheme="majorEastAsia" w:cstheme="majorBidi"/>
      <w:i/>
      <w:iCs/>
      <w:color w:val="595959" w:themeColor="text1" w:themeTint="A6"/>
      <w:lang w:val="es-CO"/>
    </w:rPr>
  </w:style>
  <w:style w:type="character" w:styleId="Heading7Char" w:customStyle="1">
    <w:name w:val="Heading 7 Char"/>
    <w:basedOn w:val="DefaultParagraphFont"/>
    <w:link w:val="Heading7"/>
    <w:uiPriority w:val="9"/>
    <w:semiHidden/>
    <w:rsid w:val="00EF4B86"/>
    <w:rPr>
      <w:rFonts w:eastAsiaTheme="majorEastAsia" w:cstheme="majorBidi"/>
      <w:color w:val="595959" w:themeColor="text1" w:themeTint="A6"/>
      <w:lang w:val="es-CO"/>
    </w:rPr>
  </w:style>
  <w:style w:type="character" w:styleId="Heading8Char" w:customStyle="1">
    <w:name w:val="Heading 8 Char"/>
    <w:basedOn w:val="DefaultParagraphFont"/>
    <w:link w:val="Heading8"/>
    <w:uiPriority w:val="9"/>
    <w:semiHidden/>
    <w:rsid w:val="00EF4B86"/>
    <w:rPr>
      <w:rFonts w:eastAsiaTheme="majorEastAsia" w:cstheme="majorBidi"/>
      <w:i/>
      <w:iCs/>
      <w:color w:val="272727" w:themeColor="text1" w:themeTint="D8"/>
      <w:lang w:val="es-CO"/>
    </w:rPr>
  </w:style>
  <w:style w:type="character" w:styleId="Heading9Char" w:customStyle="1">
    <w:name w:val="Heading 9 Char"/>
    <w:basedOn w:val="DefaultParagraphFont"/>
    <w:link w:val="Heading9"/>
    <w:uiPriority w:val="9"/>
    <w:semiHidden/>
    <w:rsid w:val="00EF4B86"/>
    <w:rPr>
      <w:rFonts w:eastAsiaTheme="majorEastAsia" w:cstheme="majorBidi"/>
      <w:color w:val="272727" w:themeColor="text1" w:themeTint="D8"/>
      <w:lang w:val="es-CO"/>
    </w:rPr>
  </w:style>
  <w:style w:type="paragraph" w:styleId="Title">
    <w:name w:val="Title"/>
    <w:basedOn w:val="Normal"/>
    <w:next w:val="Normal"/>
    <w:link w:val="TitleChar"/>
    <w:uiPriority w:val="10"/>
    <w:qFormat/>
    <w:rsid w:val="00EF4B8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F4B86"/>
    <w:rPr>
      <w:rFonts w:asciiTheme="majorHAnsi" w:hAnsiTheme="majorHAnsi" w:eastAsiaTheme="majorEastAsia" w:cstheme="majorBidi"/>
      <w:spacing w:val="-10"/>
      <w:kern w:val="28"/>
      <w:sz w:val="56"/>
      <w:szCs w:val="56"/>
      <w:lang w:val="es-CO"/>
    </w:rPr>
  </w:style>
  <w:style w:type="paragraph" w:styleId="Subtitle">
    <w:name w:val="Subtitle"/>
    <w:basedOn w:val="Normal"/>
    <w:next w:val="Normal"/>
    <w:link w:val="SubtitleChar"/>
    <w:uiPriority w:val="11"/>
    <w:qFormat/>
    <w:rsid w:val="00EF4B8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F4B86"/>
    <w:rPr>
      <w:rFonts w:eastAsiaTheme="majorEastAsia" w:cstheme="majorBidi"/>
      <w:color w:val="595959" w:themeColor="text1" w:themeTint="A6"/>
      <w:spacing w:val="15"/>
      <w:sz w:val="28"/>
      <w:szCs w:val="28"/>
      <w:lang w:val="es-CO"/>
    </w:rPr>
  </w:style>
  <w:style w:type="paragraph" w:styleId="Quote">
    <w:name w:val="Quote"/>
    <w:basedOn w:val="Normal"/>
    <w:next w:val="Normal"/>
    <w:link w:val="QuoteChar"/>
    <w:uiPriority w:val="29"/>
    <w:qFormat/>
    <w:rsid w:val="00EF4B86"/>
    <w:pPr>
      <w:spacing w:before="160"/>
      <w:jc w:val="center"/>
    </w:pPr>
    <w:rPr>
      <w:i/>
      <w:iCs/>
      <w:color w:val="404040" w:themeColor="text1" w:themeTint="BF"/>
    </w:rPr>
  </w:style>
  <w:style w:type="character" w:styleId="QuoteChar" w:customStyle="1">
    <w:name w:val="Quote Char"/>
    <w:basedOn w:val="DefaultParagraphFont"/>
    <w:link w:val="Quote"/>
    <w:uiPriority w:val="29"/>
    <w:rsid w:val="00EF4B86"/>
    <w:rPr>
      <w:i/>
      <w:iCs/>
      <w:color w:val="404040" w:themeColor="text1" w:themeTint="BF"/>
      <w:lang w:val="es-CO"/>
    </w:rPr>
  </w:style>
  <w:style w:type="paragraph" w:styleId="ListParagraph">
    <w:name w:val="List Paragraph"/>
    <w:basedOn w:val="Normal"/>
    <w:uiPriority w:val="34"/>
    <w:qFormat/>
    <w:rsid w:val="00EF4B86"/>
    <w:pPr>
      <w:ind w:left="720"/>
      <w:contextualSpacing/>
    </w:pPr>
  </w:style>
  <w:style w:type="character" w:styleId="IntenseEmphasis">
    <w:name w:val="Intense Emphasis"/>
    <w:basedOn w:val="DefaultParagraphFont"/>
    <w:uiPriority w:val="21"/>
    <w:qFormat/>
    <w:rsid w:val="00EF4B86"/>
    <w:rPr>
      <w:i/>
      <w:iCs/>
      <w:color w:val="0F4761" w:themeColor="accent1" w:themeShade="BF"/>
    </w:rPr>
  </w:style>
  <w:style w:type="paragraph" w:styleId="IntenseQuote">
    <w:name w:val="Intense Quote"/>
    <w:basedOn w:val="Normal"/>
    <w:next w:val="Normal"/>
    <w:link w:val="IntenseQuoteChar"/>
    <w:uiPriority w:val="30"/>
    <w:qFormat/>
    <w:rsid w:val="00EF4B8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F4B86"/>
    <w:rPr>
      <w:i/>
      <w:iCs/>
      <w:color w:val="0F4761" w:themeColor="accent1" w:themeShade="BF"/>
      <w:lang w:val="es-CO"/>
    </w:rPr>
  </w:style>
  <w:style w:type="character" w:styleId="IntenseReference">
    <w:name w:val="Intense Reference"/>
    <w:basedOn w:val="DefaultParagraphFont"/>
    <w:uiPriority w:val="32"/>
    <w:qFormat/>
    <w:rsid w:val="00EF4B86"/>
    <w:rPr>
      <w:b/>
      <w:bCs/>
      <w:smallCaps/>
      <w:color w:val="0F4761" w:themeColor="accent1" w:themeShade="BF"/>
      <w:spacing w:val="5"/>
    </w:rPr>
  </w:style>
  <w:style w:type="character" w:styleId="Hyperlink">
    <w:name w:val="Hyperlink"/>
    <w:basedOn w:val="DefaultParagraphFont"/>
    <w:uiPriority w:val="99"/>
    <w:unhideWhenUsed/>
    <w:rsid w:val="00A1785B"/>
    <w:rPr>
      <w:color w:val="467886" w:themeColor="hyperlink"/>
      <w:u w:val="single"/>
    </w:rPr>
  </w:style>
  <w:style w:type="character" w:styleId="UnresolvedMention">
    <w:name w:val="Unresolved Mention"/>
    <w:basedOn w:val="DefaultParagraphFont"/>
    <w:uiPriority w:val="99"/>
    <w:semiHidden/>
    <w:unhideWhenUsed/>
    <w:rsid w:val="00A1785B"/>
    <w:rPr>
      <w:color w:val="605E5C"/>
      <w:shd w:val="clear" w:color="auto" w:fill="E1DFDD"/>
    </w:rPr>
  </w:style>
  <w:style w:type="paragraph" w:styleId="NormalWeb">
    <w:name w:val="Normal (Web)"/>
    <w:basedOn w:val="Normal"/>
    <w:uiPriority w:val="99"/>
    <w:semiHidden/>
    <w:unhideWhenUsed/>
    <w:rsid w:val="000C7FA7"/>
    <w:rPr>
      <w:rFonts w:ascii="Times New Roman" w:hAnsi="Times New Roman" w:cs="Times New Roman"/>
    </w:rPr>
  </w:style>
  <w:style w:type="paragraph" w:styleId="Caption">
    <w:name w:val="caption"/>
    <w:aliases w:val="Epígrafe tablas,Epíg Tablas,Epígrafe Car1,Epígrafe Car2,Epígrafe Car3,Epígrafe Car4,Epígrafe Car5,Epígrafe Car6,Epígrafe Car7,Epígrafe Car8,Epígrafe Car9,Epígrafe Car11,Epígrafe Tablas,Epígrafe Car21,Epígrafe Car31,Epígrafe Car41,T,Car,A"/>
    <w:basedOn w:val="Normal"/>
    <w:next w:val="Normal"/>
    <w:link w:val="CaptionChar"/>
    <w:uiPriority w:val="35"/>
    <w:unhideWhenUsed/>
    <w:qFormat/>
    <w:rsid w:val="000264CD"/>
    <w:pPr>
      <w:spacing w:after="200" w:line="240" w:lineRule="auto"/>
    </w:pPr>
    <w:rPr>
      <w:i/>
      <w:iCs/>
      <w:color w:val="0E2841" w:themeColor="text2"/>
      <w:sz w:val="18"/>
      <w:szCs w:val="18"/>
    </w:rPr>
  </w:style>
  <w:style w:type="table" w:styleId="TableGrid">
    <w:name w:val="Table Grid"/>
    <w:basedOn w:val="TableNormal"/>
    <w:uiPriority w:val="39"/>
    <w:rsid w:val="00BC43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Comment Reference"/>
    <w:basedOn w:val="DefaultParagraphFont"/>
    <w:uiPriority w:val="99"/>
    <w:semiHidden/>
    <w:unhideWhenUsed/>
    <w:rsid w:val="00C9482A"/>
    <w:rPr>
      <w:sz w:val="16"/>
      <w:szCs w:val="16"/>
    </w:rPr>
  </w:style>
  <w:style w:type="paragraph" w:styleId="CommentText">
    <w:name w:val="Comment Text"/>
    <w:basedOn w:val="Normal"/>
    <w:link w:val="CommentTextChar"/>
    <w:uiPriority w:val="99"/>
    <w:unhideWhenUsed/>
    <w:rsid w:val="00C9482A"/>
    <w:pPr>
      <w:spacing w:line="240" w:lineRule="auto"/>
    </w:pPr>
    <w:rPr>
      <w:sz w:val="20"/>
      <w:szCs w:val="20"/>
    </w:rPr>
  </w:style>
  <w:style w:type="character" w:styleId="CommentTextChar" w:customStyle="1">
    <w:name w:val="Comment Text Char"/>
    <w:basedOn w:val="DefaultParagraphFont"/>
    <w:link w:val="CommentText"/>
    <w:uiPriority w:val="99"/>
    <w:rsid w:val="00C9482A"/>
    <w:rPr>
      <w:sz w:val="20"/>
      <w:szCs w:val="20"/>
      <w:lang w:val="es-CO"/>
    </w:rPr>
  </w:style>
  <w:style w:type="paragraph" w:styleId="CommentSubject">
    <w:name w:val="Comment Subject"/>
    <w:basedOn w:val="CommentText"/>
    <w:next w:val="CommentText"/>
    <w:link w:val="CommentSubjectChar"/>
    <w:uiPriority w:val="99"/>
    <w:semiHidden/>
    <w:unhideWhenUsed/>
    <w:rsid w:val="00C9482A"/>
    <w:rPr>
      <w:b/>
      <w:bCs/>
    </w:rPr>
  </w:style>
  <w:style w:type="character" w:styleId="CommentSubjectChar" w:customStyle="1">
    <w:name w:val="Comment Subject Char"/>
    <w:basedOn w:val="CommentTextChar"/>
    <w:link w:val="CommentSubject"/>
    <w:uiPriority w:val="99"/>
    <w:semiHidden/>
    <w:rsid w:val="00C9482A"/>
    <w:rPr>
      <w:b/>
      <w:bCs/>
      <w:sz w:val="20"/>
      <w:szCs w:val="20"/>
      <w:lang w:val="es-CO"/>
    </w:rPr>
  </w:style>
  <w:style w:type="character" w:styleId="CaptionChar" w:customStyle="1">
    <w:name w:val="Caption Char"/>
    <w:aliases w:val="Epígrafe tablas Char,Epíg Tablas Char,Epígrafe Car1 Char,Epígrafe Car2 Char,Epígrafe Car3 Char,Epígrafe Car4 Char,Epígrafe Car5 Char,Epígrafe Car6 Char,Epígrafe Car7 Char,Epígrafe Car8 Char,Epígrafe Car9 Char,Epígrafe Car11 Char,T Char"/>
    <w:basedOn w:val="DefaultParagraphFont"/>
    <w:link w:val="Caption"/>
    <w:uiPriority w:val="35"/>
    <w:qFormat/>
    <w:rsid w:val="001B40F4"/>
    <w:rPr>
      <w:i/>
      <w:iCs/>
      <w:color w:val="0E2841" w:themeColor="text2"/>
      <w:sz w:val="18"/>
      <w:szCs w:val="18"/>
      <w:lang w:val="es-CO"/>
    </w:rPr>
  </w:style>
  <w:style w:type="character" w:styleId="FootnoteReference">
    <w:name w:val="footnote reference"/>
    <w:aliases w:val="referencia nota al pie,ftref,16 Point,Superscript 6 Point,Footnotes refss,Texto de nota al pie,Appel note de bas de page,4_G,Ref. de nota al pie2,BVI fnr,Footnote symbol,Footnote,Footnote number,f,Ref. de nota al pie.,Texto nota al p"/>
    <w:uiPriority w:val="99"/>
    <w:unhideWhenUsed/>
    <w:qFormat/>
    <w:rsid w:val="004907D1"/>
    <w:rPr>
      <w:vertAlign w:val="superscript"/>
    </w:rPr>
  </w:style>
  <w:style w:type="paragraph" w:styleId="TOCHeading">
    <w:name w:val="TOC Heading"/>
    <w:basedOn w:val="Heading1"/>
    <w:next w:val="Normal"/>
    <w:uiPriority w:val="39"/>
    <w:unhideWhenUsed/>
    <w:qFormat/>
    <w:rsid w:val="004B020A"/>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4B020A"/>
    <w:pPr>
      <w:spacing w:after="100"/>
    </w:pPr>
  </w:style>
  <w:style w:type="paragraph" w:styleId="TOC2">
    <w:name w:val="toc 2"/>
    <w:basedOn w:val="Normal"/>
    <w:next w:val="Normal"/>
    <w:autoRedefine/>
    <w:uiPriority w:val="39"/>
    <w:unhideWhenUsed/>
    <w:rsid w:val="004B020A"/>
    <w:pPr>
      <w:spacing w:after="100"/>
      <w:ind w:left="240"/>
    </w:pPr>
  </w:style>
  <w:style w:type="paragraph" w:styleId="Header">
    <w:name w:val="header"/>
    <w:basedOn w:val="Normal"/>
    <w:link w:val="HeaderChar"/>
    <w:uiPriority w:val="99"/>
    <w:unhideWhenUsed/>
    <w:rsid w:val="00EB46AA"/>
    <w:pPr>
      <w:tabs>
        <w:tab w:val="center" w:pos="4680"/>
        <w:tab w:val="right" w:pos="9360"/>
      </w:tabs>
      <w:spacing w:after="0" w:line="240" w:lineRule="auto"/>
    </w:pPr>
  </w:style>
  <w:style w:type="character" w:styleId="HeaderChar" w:customStyle="1">
    <w:name w:val="Header Char"/>
    <w:basedOn w:val="DefaultParagraphFont"/>
    <w:link w:val="Header"/>
    <w:uiPriority w:val="99"/>
    <w:rsid w:val="00EB46AA"/>
    <w:rPr>
      <w:lang w:val="es-CO"/>
    </w:rPr>
  </w:style>
  <w:style w:type="paragraph" w:styleId="Footer">
    <w:name w:val="footer"/>
    <w:basedOn w:val="Normal"/>
    <w:link w:val="FooterChar"/>
    <w:uiPriority w:val="99"/>
    <w:unhideWhenUsed/>
    <w:rsid w:val="00EB46AA"/>
    <w:pPr>
      <w:tabs>
        <w:tab w:val="center" w:pos="4680"/>
        <w:tab w:val="right" w:pos="9360"/>
      </w:tabs>
      <w:spacing w:after="0" w:line="240" w:lineRule="auto"/>
    </w:pPr>
  </w:style>
  <w:style w:type="character" w:styleId="FooterChar" w:customStyle="1">
    <w:name w:val="Footer Char"/>
    <w:basedOn w:val="DefaultParagraphFont"/>
    <w:link w:val="Footer"/>
    <w:uiPriority w:val="99"/>
    <w:rsid w:val="00EB46AA"/>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34">
      <w:bodyDiv w:val="1"/>
      <w:marLeft w:val="0"/>
      <w:marRight w:val="0"/>
      <w:marTop w:val="0"/>
      <w:marBottom w:val="0"/>
      <w:divBdr>
        <w:top w:val="none" w:sz="0" w:space="0" w:color="auto"/>
        <w:left w:val="none" w:sz="0" w:space="0" w:color="auto"/>
        <w:bottom w:val="none" w:sz="0" w:space="0" w:color="auto"/>
        <w:right w:val="none" w:sz="0" w:space="0" w:color="auto"/>
      </w:divBdr>
    </w:div>
    <w:div w:id="88280232">
      <w:bodyDiv w:val="1"/>
      <w:marLeft w:val="0"/>
      <w:marRight w:val="0"/>
      <w:marTop w:val="0"/>
      <w:marBottom w:val="0"/>
      <w:divBdr>
        <w:top w:val="none" w:sz="0" w:space="0" w:color="auto"/>
        <w:left w:val="none" w:sz="0" w:space="0" w:color="auto"/>
        <w:bottom w:val="none" w:sz="0" w:space="0" w:color="auto"/>
        <w:right w:val="none" w:sz="0" w:space="0" w:color="auto"/>
      </w:divBdr>
      <w:divsChild>
        <w:div w:id="161748575">
          <w:marLeft w:val="0"/>
          <w:marRight w:val="0"/>
          <w:marTop w:val="0"/>
          <w:marBottom w:val="0"/>
          <w:divBdr>
            <w:top w:val="none" w:sz="0" w:space="0" w:color="auto"/>
            <w:left w:val="none" w:sz="0" w:space="0" w:color="auto"/>
            <w:bottom w:val="none" w:sz="0" w:space="0" w:color="auto"/>
            <w:right w:val="none" w:sz="0" w:space="0" w:color="auto"/>
          </w:divBdr>
        </w:div>
        <w:div w:id="862136611">
          <w:marLeft w:val="0"/>
          <w:marRight w:val="0"/>
          <w:marTop w:val="0"/>
          <w:marBottom w:val="0"/>
          <w:divBdr>
            <w:top w:val="none" w:sz="0" w:space="0" w:color="auto"/>
            <w:left w:val="none" w:sz="0" w:space="0" w:color="auto"/>
            <w:bottom w:val="none" w:sz="0" w:space="0" w:color="auto"/>
            <w:right w:val="none" w:sz="0" w:space="0" w:color="auto"/>
          </w:divBdr>
        </w:div>
        <w:div w:id="994069668">
          <w:marLeft w:val="0"/>
          <w:marRight w:val="0"/>
          <w:marTop w:val="0"/>
          <w:marBottom w:val="0"/>
          <w:divBdr>
            <w:top w:val="none" w:sz="0" w:space="0" w:color="auto"/>
            <w:left w:val="none" w:sz="0" w:space="0" w:color="auto"/>
            <w:bottom w:val="none" w:sz="0" w:space="0" w:color="auto"/>
            <w:right w:val="none" w:sz="0" w:space="0" w:color="auto"/>
          </w:divBdr>
        </w:div>
        <w:div w:id="1245413237">
          <w:marLeft w:val="0"/>
          <w:marRight w:val="0"/>
          <w:marTop w:val="0"/>
          <w:marBottom w:val="0"/>
          <w:divBdr>
            <w:top w:val="none" w:sz="0" w:space="0" w:color="auto"/>
            <w:left w:val="none" w:sz="0" w:space="0" w:color="auto"/>
            <w:bottom w:val="none" w:sz="0" w:space="0" w:color="auto"/>
            <w:right w:val="none" w:sz="0" w:space="0" w:color="auto"/>
          </w:divBdr>
        </w:div>
        <w:div w:id="1304308359">
          <w:marLeft w:val="0"/>
          <w:marRight w:val="0"/>
          <w:marTop w:val="0"/>
          <w:marBottom w:val="0"/>
          <w:divBdr>
            <w:top w:val="none" w:sz="0" w:space="0" w:color="auto"/>
            <w:left w:val="none" w:sz="0" w:space="0" w:color="auto"/>
            <w:bottom w:val="none" w:sz="0" w:space="0" w:color="auto"/>
            <w:right w:val="none" w:sz="0" w:space="0" w:color="auto"/>
          </w:divBdr>
        </w:div>
        <w:div w:id="1451971256">
          <w:marLeft w:val="0"/>
          <w:marRight w:val="0"/>
          <w:marTop w:val="0"/>
          <w:marBottom w:val="0"/>
          <w:divBdr>
            <w:top w:val="none" w:sz="0" w:space="0" w:color="auto"/>
            <w:left w:val="none" w:sz="0" w:space="0" w:color="auto"/>
            <w:bottom w:val="none" w:sz="0" w:space="0" w:color="auto"/>
            <w:right w:val="none" w:sz="0" w:space="0" w:color="auto"/>
          </w:divBdr>
        </w:div>
        <w:div w:id="1499267161">
          <w:marLeft w:val="0"/>
          <w:marRight w:val="0"/>
          <w:marTop w:val="0"/>
          <w:marBottom w:val="0"/>
          <w:divBdr>
            <w:top w:val="none" w:sz="0" w:space="0" w:color="auto"/>
            <w:left w:val="none" w:sz="0" w:space="0" w:color="auto"/>
            <w:bottom w:val="none" w:sz="0" w:space="0" w:color="auto"/>
            <w:right w:val="none" w:sz="0" w:space="0" w:color="auto"/>
          </w:divBdr>
        </w:div>
        <w:div w:id="1531145184">
          <w:marLeft w:val="0"/>
          <w:marRight w:val="0"/>
          <w:marTop w:val="0"/>
          <w:marBottom w:val="0"/>
          <w:divBdr>
            <w:top w:val="none" w:sz="0" w:space="0" w:color="auto"/>
            <w:left w:val="none" w:sz="0" w:space="0" w:color="auto"/>
            <w:bottom w:val="none" w:sz="0" w:space="0" w:color="auto"/>
            <w:right w:val="none" w:sz="0" w:space="0" w:color="auto"/>
          </w:divBdr>
        </w:div>
        <w:div w:id="1732650091">
          <w:marLeft w:val="0"/>
          <w:marRight w:val="0"/>
          <w:marTop w:val="0"/>
          <w:marBottom w:val="0"/>
          <w:divBdr>
            <w:top w:val="none" w:sz="0" w:space="0" w:color="auto"/>
            <w:left w:val="none" w:sz="0" w:space="0" w:color="auto"/>
            <w:bottom w:val="none" w:sz="0" w:space="0" w:color="auto"/>
            <w:right w:val="none" w:sz="0" w:space="0" w:color="auto"/>
          </w:divBdr>
        </w:div>
        <w:div w:id="1736590356">
          <w:marLeft w:val="0"/>
          <w:marRight w:val="0"/>
          <w:marTop w:val="0"/>
          <w:marBottom w:val="0"/>
          <w:divBdr>
            <w:top w:val="none" w:sz="0" w:space="0" w:color="auto"/>
            <w:left w:val="none" w:sz="0" w:space="0" w:color="auto"/>
            <w:bottom w:val="none" w:sz="0" w:space="0" w:color="auto"/>
            <w:right w:val="none" w:sz="0" w:space="0" w:color="auto"/>
          </w:divBdr>
        </w:div>
        <w:div w:id="1893426145">
          <w:marLeft w:val="0"/>
          <w:marRight w:val="0"/>
          <w:marTop w:val="0"/>
          <w:marBottom w:val="0"/>
          <w:divBdr>
            <w:top w:val="none" w:sz="0" w:space="0" w:color="auto"/>
            <w:left w:val="none" w:sz="0" w:space="0" w:color="auto"/>
            <w:bottom w:val="none" w:sz="0" w:space="0" w:color="auto"/>
            <w:right w:val="none" w:sz="0" w:space="0" w:color="auto"/>
          </w:divBdr>
        </w:div>
      </w:divsChild>
    </w:div>
    <w:div w:id="114644431">
      <w:bodyDiv w:val="1"/>
      <w:marLeft w:val="0"/>
      <w:marRight w:val="0"/>
      <w:marTop w:val="0"/>
      <w:marBottom w:val="0"/>
      <w:divBdr>
        <w:top w:val="none" w:sz="0" w:space="0" w:color="auto"/>
        <w:left w:val="none" w:sz="0" w:space="0" w:color="auto"/>
        <w:bottom w:val="none" w:sz="0" w:space="0" w:color="auto"/>
        <w:right w:val="none" w:sz="0" w:space="0" w:color="auto"/>
      </w:divBdr>
    </w:div>
    <w:div w:id="137188267">
      <w:bodyDiv w:val="1"/>
      <w:marLeft w:val="0"/>
      <w:marRight w:val="0"/>
      <w:marTop w:val="0"/>
      <w:marBottom w:val="0"/>
      <w:divBdr>
        <w:top w:val="none" w:sz="0" w:space="0" w:color="auto"/>
        <w:left w:val="none" w:sz="0" w:space="0" w:color="auto"/>
        <w:bottom w:val="none" w:sz="0" w:space="0" w:color="auto"/>
        <w:right w:val="none" w:sz="0" w:space="0" w:color="auto"/>
      </w:divBdr>
    </w:div>
    <w:div w:id="253443503">
      <w:bodyDiv w:val="1"/>
      <w:marLeft w:val="0"/>
      <w:marRight w:val="0"/>
      <w:marTop w:val="0"/>
      <w:marBottom w:val="0"/>
      <w:divBdr>
        <w:top w:val="none" w:sz="0" w:space="0" w:color="auto"/>
        <w:left w:val="none" w:sz="0" w:space="0" w:color="auto"/>
        <w:bottom w:val="none" w:sz="0" w:space="0" w:color="auto"/>
        <w:right w:val="none" w:sz="0" w:space="0" w:color="auto"/>
      </w:divBdr>
    </w:div>
    <w:div w:id="316426453">
      <w:bodyDiv w:val="1"/>
      <w:marLeft w:val="0"/>
      <w:marRight w:val="0"/>
      <w:marTop w:val="0"/>
      <w:marBottom w:val="0"/>
      <w:divBdr>
        <w:top w:val="none" w:sz="0" w:space="0" w:color="auto"/>
        <w:left w:val="none" w:sz="0" w:space="0" w:color="auto"/>
        <w:bottom w:val="none" w:sz="0" w:space="0" w:color="auto"/>
        <w:right w:val="none" w:sz="0" w:space="0" w:color="auto"/>
      </w:divBdr>
    </w:div>
    <w:div w:id="408769282">
      <w:bodyDiv w:val="1"/>
      <w:marLeft w:val="0"/>
      <w:marRight w:val="0"/>
      <w:marTop w:val="0"/>
      <w:marBottom w:val="0"/>
      <w:divBdr>
        <w:top w:val="none" w:sz="0" w:space="0" w:color="auto"/>
        <w:left w:val="none" w:sz="0" w:space="0" w:color="auto"/>
        <w:bottom w:val="none" w:sz="0" w:space="0" w:color="auto"/>
        <w:right w:val="none" w:sz="0" w:space="0" w:color="auto"/>
      </w:divBdr>
      <w:divsChild>
        <w:div w:id="160775503">
          <w:marLeft w:val="0"/>
          <w:marRight w:val="0"/>
          <w:marTop w:val="0"/>
          <w:marBottom w:val="0"/>
          <w:divBdr>
            <w:top w:val="none" w:sz="0" w:space="0" w:color="auto"/>
            <w:left w:val="none" w:sz="0" w:space="0" w:color="auto"/>
            <w:bottom w:val="none" w:sz="0" w:space="0" w:color="auto"/>
            <w:right w:val="none" w:sz="0" w:space="0" w:color="auto"/>
          </w:divBdr>
        </w:div>
        <w:div w:id="164251229">
          <w:marLeft w:val="0"/>
          <w:marRight w:val="0"/>
          <w:marTop w:val="0"/>
          <w:marBottom w:val="0"/>
          <w:divBdr>
            <w:top w:val="none" w:sz="0" w:space="0" w:color="auto"/>
            <w:left w:val="none" w:sz="0" w:space="0" w:color="auto"/>
            <w:bottom w:val="none" w:sz="0" w:space="0" w:color="auto"/>
            <w:right w:val="none" w:sz="0" w:space="0" w:color="auto"/>
          </w:divBdr>
        </w:div>
        <w:div w:id="198708221">
          <w:marLeft w:val="0"/>
          <w:marRight w:val="0"/>
          <w:marTop w:val="0"/>
          <w:marBottom w:val="0"/>
          <w:divBdr>
            <w:top w:val="none" w:sz="0" w:space="0" w:color="auto"/>
            <w:left w:val="none" w:sz="0" w:space="0" w:color="auto"/>
            <w:bottom w:val="none" w:sz="0" w:space="0" w:color="auto"/>
            <w:right w:val="none" w:sz="0" w:space="0" w:color="auto"/>
          </w:divBdr>
        </w:div>
        <w:div w:id="219634588">
          <w:marLeft w:val="0"/>
          <w:marRight w:val="0"/>
          <w:marTop w:val="0"/>
          <w:marBottom w:val="0"/>
          <w:divBdr>
            <w:top w:val="none" w:sz="0" w:space="0" w:color="auto"/>
            <w:left w:val="none" w:sz="0" w:space="0" w:color="auto"/>
            <w:bottom w:val="none" w:sz="0" w:space="0" w:color="auto"/>
            <w:right w:val="none" w:sz="0" w:space="0" w:color="auto"/>
          </w:divBdr>
        </w:div>
        <w:div w:id="1496258968">
          <w:marLeft w:val="0"/>
          <w:marRight w:val="0"/>
          <w:marTop w:val="0"/>
          <w:marBottom w:val="0"/>
          <w:divBdr>
            <w:top w:val="none" w:sz="0" w:space="0" w:color="auto"/>
            <w:left w:val="none" w:sz="0" w:space="0" w:color="auto"/>
            <w:bottom w:val="none" w:sz="0" w:space="0" w:color="auto"/>
            <w:right w:val="none" w:sz="0" w:space="0" w:color="auto"/>
          </w:divBdr>
        </w:div>
        <w:div w:id="1657299521">
          <w:marLeft w:val="0"/>
          <w:marRight w:val="0"/>
          <w:marTop w:val="0"/>
          <w:marBottom w:val="0"/>
          <w:divBdr>
            <w:top w:val="none" w:sz="0" w:space="0" w:color="auto"/>
            <w:left w:val="none" w:sz="0" w:space="0" w:color="auto"/>
            <w:bottom w:val="none" w:sz="0" w:space="0" w:color="auto"/>
            <w:right w:val="none" w:sz="0" w:space="0" w:color="auto"/>
          </w:divBdr>
        </w:div>
        <w:div w:id="1697123232">
          <w:marLeft w:val="0"/>
          <w:marRight w:val="0"/>
          <w:marTop w:val="0"/>
          <w:marBottom w:val="0"/>
          <w:divBdr>
            <w:top w:val="none" w:sz="0" w:space="0" w:color="auto"/>
            <w:left w:val="none" w:sz="0" w:space="0" w:color="auto"/>
            <w:bottom w:val="none" w:sz="0" w:space="0" w:color="auto"/>
            <w:right w:val="none" w:sz="0" w:space="0" w:color="auto"/>
          </w:divBdr>
        </w:div>
        <w:div w:id="1859344357">
          <w:marLeft w:val="0"/>
          <w:marRight w:val="0"/>
          <w:marTop w:val="0"/>
          <w:marBottom w:val="0"/>
          <w:divBdr>
            <w:top w:val="none" w:sz="0" w:space="0" w:color="auto"/>
            <w:left w:val="none" w:sz="0" w:space="0" w:color="auto"/>
            <w:bottom w:val="none" w:sz="0" w:space="0" w:color="auto"/>
            <w:right w:val="none" w:sz="0" w:space="0" w:color="auto"/>
          </w:divBdr>
        </w:div>
        <w:div w:id="1878852892">
          <w:marLeft w:val="0"/>
          <w:marRight w:val="0"/>
          <w:marTop w:val="0"/>
          <w:marBottom w:val="0"/>
          <w:divBdr>
            <w:top w:val="none" w:sz="0" w:space="0" w:color="auto"/>
            <w:left w:val="none" w:sz="0" w:space="0" w:color="auto"/>
            <w:bottom w:val="none" w:sz="0" w:space="0" w:color="auto"/>
            <w:right w:val="none" w:sz="0" w:space="0" w:color="auto"/>
          </w:divBdr>
        </w:div>
        <w:div w:id="1905945540">
          <w:marLeft w:val="0"/>
          <w:marRight w:val="0"/>
          <w:marTop w:val="0"/>
          <w:marBottom w:val="0"/>
          <w:divBdr>
            <w:top w:val="none" w:sz="0" w:space="0" w:color="auto"/>
            <w:left w:val="none" w:sz="0" w:space="0" w:color="auto"/>
            <w:bottom w:val="none" w:sz="0" w:space="0" w:color="auto"/>
            <w:right w:val="none" w:sz="0" w:space="0" w:color="auto"/>
          </w:divBdr>
        </w:div>
        <w:div w:id="2127768045">
          <w:marLeft w:val="0"/>
          <w:marRight w:val="0"/>
          <w:marTop w:val="0"/>
          <w:marBottom w:val="0"/>
          <w:divBdr>
            <w:top w:val="none" w:sz="0" w:space="0" w:color="auto"/>
            <w:left w:val="none" w:sz="0" w:space="0" w:color="auto"/>
            <w:bottom w:val="none" w:sz="0" w:space="0" w:color="auto"/>
            <w:right w:val="none" w:sz="0" w:space="0" w:color="auto"/>
          </w:divBdr>
        </w:div>
      </w:divsChild>
    </w:div>
    <w:div w:id="637539743">
      <w:bodyDiv w:val="1"/>
      <w:marLeft w:val="0"/>
      <w:marRight w:val="0"/>
      <w:marTop w:val="0"/>
      <w:marBottom w:val="0"/>
      <w:divBdr>
        <w:top w:val="none" w:sz="0" w:space="0" w:color="auto"/>
        <w:left w:val="none" w:sz="0" w:space="0" w:color="auto"/>
        <w:bottom w:val="none" w:sz="0" w:space="0" w:color="auto"/>
        <w:right w:val="none" w:sz="0" w:space="0" w:color="auto"/>
      </w:divBdr>
    </w:div>
    <w:div w:id="866790766">
      <w:bodyDiv w:val="1"/>
      <w:marLeft w:val="0"/>
      <w:marRight w:val="0"/>
      <w:marTop w:val="0"/>
      <w:marBottom w:val="0"/>
      <w:divBdr>
        <w:top w:val="none" w:sz="0" w:space="0" w:color="auto"/>
        <w:left w:val="none" w:sz="0" w:space="0" w:color="auto"/>
        <w:bottom w:val="none" w:sz="0" w:space="0" w:color="auto"/>
        <w:right w:val="none" w:sz="0" w:space="0" w:color="auto"/>
      </w:divBdr>
    </w:div>
    <w:div w:id="1191844748">
      <w:bodyDiv w:val="1"/>
      <w:marLeft w:val="0"/>
      <w:marRight w:val="0"/>
      <w:marTop w:val="0"/>
      <w:marBottom w:val="0"/>
      <w:divBdr>
        <w:top w:val="none" w:sz="0" w:space="0" w:color="auto"/>
        <w:left w:val="none" w:sz="0" w:space="0" w:color="auto"/>
        <w:bottom w:val="none" w:sz="0" w:space="0" w:color="auto"/>
        <w:right w:val="none" w:sz="0" w:space="0" w:color="auto"/>
      </w:divBdr>
    </w:div>
    <w:div w:id="1261909240">
      <w:bodyDiv w:val="1"/>
      <w:marLeft w:val="0"/>
      <w:marRight w:val="0"/>
      <w:marTop w:val="0"/>
      <w:marBottom w:val="0"/>
      <w:divBdr>
        <w:top w:val="none" w:sz="0" w:space="0" w:color="auto"/>
        <w:left w:val="none" w:sz="0" w:space="0" w:color="auto"/>
        <w:bottom w:val="none" w:sz="0" w:space="0" w:color="auto"/>
        <w:right w:val="none" w:sz="0" w:space="0" w:color="auto"/>
      </w:divBdr>
    </w:div>
    <w:div w:id="1318806999">
      <w:bodyDiv w:val="1"/>
      <w:marLeft w:val="0"/>
      <w:marRight w:val="0"/>
      <w:marTop w:val="0"/>
      <w:marBottom w:val="0"/>
      <w:divBdr>
        <w:top w:val="none" w:sz="0" w:space="0" w:color="auto"/>
        <w:left w:val="none" w:sz="0" w:space="0" w:color="auto"/>
        <w:bottom w:val="none" w:sz="0" w:space="0" w:color="auto"/>
        <w:right w:val="none" w:sz="0" w:space="0" w:color="auto"/>
      </w:divBdr>
      <w:divsChild>
        <w:div w:id="22292597">
          <w:marLeft w:val="0"/>
          <w:marRight w:val="0"/>
          <w:marTop w:val="0"/>
          <w:marBottom w:val="0"/>
          <w:divBdr>
            <w:top w:val="none" w:sz="0" w:space="0" w:color="auto"/>
            <w:left w:val="none" w:sz="0" w:space="0" w:color="auto"/>
            <w:bottom w:val="none" w:sz="0" w:space="0" w:color="auto"/>
            <w:right w:val="none" w:sz="0" w:space="0" w:color="auto"/>
          </w:divBdr>
        </w:div>
        <w:div w:id="480269527">
          <w:marLeft w:val="0"/>
          <w:marRight w:val="0"/>
          <w:marTop w:val="0"/>
          <w:marBottom w:val="0"/>
          <w:divBdr>
            <w:top w:val="none" w:sz="0" w:space="0" w:color="auto"/>
            <w:left w:val="none" w:sz="0" w:space="0" w:color="auto"/>
            <w:bottom w:val="none" w:sz="0" w:space="0" w:color="auto"/>
            <w:right w:val="none" w:sz="0" w:space="0" w:color="auto"/>
          </w:divBdr>
        </w:div>
        <w:div w:id="574047673">
          <w:marLeft w:val="0"/>
          <w:marRight w:val="0"/>
          <w:marTop w:val="0"/>
          <w:marBottom w:val="0"/>
          <w:divBdr>
            <w:top w:val="none" w:sz="0" w:space="0" w:color="auto"/>
            <w:left w:val="none" w:sz="0" w:space="0" w:color="auto"/>
            <w:bottom w:val="none" w:sz="0" w:space="0" w:color="auto"/>
            <w:right w:val="none" w:sz="0" w:space="0" w:color="auto"/>
          </w:divBdr>
        </w:div>
        <w:div w:id="1394155540">
          <w:marLeft w:val="0"/>
          <w:marRight w:val="0"/>
          <w:marTop w:val="0"/>
          <w:marBottom w:val="0"/>
          <w:divBdr>
            <w:top w:val="none" w:sz="0" w:space="0" w:color="auto"/>
            <w:left w:val="none" w:sz="0" w:space="0" w:color="auto"/>
            <w:bottom w:val="none" w:sz="0" w:space="0" w:color="auto"/>
            <w:right w:val="none" w:sz="0" w:space="0" w:color="auto"/>
          </w:divBdr>
        </w:div>
        <w:div w:id="1867015445">
          <w:marLeft w:val="0"/>
          <w:marRight w:val="0"/>
          <w:marTop w:val="0"/>
          <w:marBottom w:val="0"/>
          <w:divBdr>
            <w:top w:val="none" w:sz="0" w:space="0" w:color="auto"/>
            <w:left w:val="none" w:sz="0" w:space="0" w:color="auto"/>
            <w:bottom w:val="none" w:sz="0" w:space="0" w:color="auto"/>
            <w:right w:val="none" w:sz="0" w:space="0" w:color="auto"/>
          </w:divBdr>
        </w:div>
        <w:div w:id="1964539182">
          <w:marLeft w:val="0"/>
          <w:marRight w:val="0"/>
          <w:marTop w:val="0"/>
          <w:marBottom w:val="0"/>
          <w:divBdr>
            <w:top w:val="none" w:sz="0" w:space="0" w:color="auto"/>
            <w:left w:val="none" w:sz="0" w:space="0" w:color="auto"/>
            <w:bottom w:val="none" w:sz="0" w:space="0" w:color="auto"/>
            <w:right w:val="none" w:sz="0" w:space="0" w:color="auto"/>
          </w:divBdr>
        </w:div>
      </w:divsChild>
    </w:div>
    <w:div w:id="1721708649">
      <w:bodyDiv w:val="1"/>
      <w:marLeft w:val="0"/>
      <w:marRight w:val="0"/>
      <w:marTop w:val="0"/>
      <w:marBottom w:val="0"/>
      <w:divBdr>
        <w:top w:val="none" w:sz="0" w:space="0" w:color="auto"/>
        <w:left w:val="none" w:sz="0" w:space="0" w:color="auto"/>
        <w:bottom w:val="none" w:sz="0" w:space="0" w:color="auto"/>
        <w:right w:val="none" w:sz="0" w:space="0" w:color="auto"/>
      </w:divBdr>
    </w:div>
    <w:div w:id="1962882449">
      <w:bodyDiv w:val="1"/>
      <w:marLeft w:val="0"/>
      <w:marRight w:val="0"/>
      <w:marTop w:val="0"/>
      <w:marBottom w:val="0"/>
      <w:divBdr>
        <w:top w:val="none" w:sz="0" w:space="0" w:color="auto"/>
        <w:left w:val="none" w:sz="0" w:space="0" w:color="auto"/>
        <w:bottom w:val="none" w:sz="0" w:space="0" w:color="auto"/>
        <w:right w:val="none" w:sz="0" w:space="0" w:color="auto"/>
      </w:divBdr>
      <w:divsChild>
        <w:div w:id="1126040912">
          <w:marLeft w:val="0"/>
          <w:marRight w:val="0"/>
          <w:marTop w:val="0"/>
          <w:marBottom w:val="0"/>
          <w:divBdr>
            <w:top w:val="none" w:sz="0" w:space="0" w:color="auto"/>
            <w:left w:val="none" w:sz="0" w:space="0" w:color="auto"/>
            <w:bottom w:val="none" w:sz="0" w:space="0" w:color="auto"/>
            <w:right w:val="none" w:sz="0" w:space="0" w:color="auto"/>
          </w:divBdr>
        </w:div>
        <w:div w:id="1304769946">
          <w:marLeft w:val="0"/>
          <w:marRight w:val="0"/>
          <w:marTop w:val="0"/>
          <w:marBottom w:val="0"/>
          <w:divBdr>
            <w:top w:val="none" w:sz="0" w:space="0" w:color="auto"/>
            <w:left w:val="none" w:sz="0" w:space="0" w:color="auto"/>
            <w:bottom w:val="none" w:sz="0" w:space="0" w:color="auto"/>
            <w:right w:val="none" w:sz="0" w:space="0" w:color="auto"/>
          </w:divBdr>
        </w:div>
        <w:div w:id="1440487497">
          <w:marLeft w:val="0"/>
          <w:marRight w:val="0"/>
          <w:marTop w:val="0"/>
          <w:marBottom w:val="0"/>
          <w:divBdr>
            <w:top w:val="none" w:sz="0" w:space="0" w:color="auto"/>
            <w:left w:val="none" w:sz="0" w:space="0" w:color="auto"/>
            <w:bottom w:val="none" w:sz="0" w:space="0" w:color="auto"/>
            <w:right w:val="none" w:sz="0" w:space="0" w:color="auto"/>
          </w:divBdr>
        </w:div>
        <w:div w:id="1522469551">
          <w:marLeft w:val="0"/>
          <w:marRight w:val="0"/>
          <w:marTop w:val="0"/>
          <w:marBottom w:val="0"/>
          <w:divBdr>
            <w:top w:val="none" w:sz="0" w:space="0" w:color="auto"/>
            <w:left w:val="none" w:sz="0" w:space="0" w:color="auto"/>
            <w:bottom w:val="none" w:sz="0" w:space="0" w:color="auto"/>
            <w:right w:val="none" w:sz="0" w:space="0" w:color="auto"/>
          </w:divBdr>
        </w:div>
        <w:div w:id="1695183590">
          <w:marLeft w:val="0"/>
          <w:marRight w:val="0"/>
          <w:marTop w:val="0"/>
          <w:marBottom w:val="0"/>
          <w:divBdr>
            <w:top w:val="none" w:sz="0" w:space="0" w:color="auto"/>
            <w:left w:val="none" w:sz="0" w:space="0" w:color="auto"/>
            <w:bottom w:val="none" w:sz="0" w:space="0" w:color="auto"/>
            <w:right w:val="none" w:sz="0" w:space="0" w:color="auto"/>
          </w:divBdr>
        </w:div>
        <w:div w:id="2029017754">
          <w:marLeft w:val="0"/>
          <w:marRight w:val="0"/>
          <w:marTop w:val="0"/>
          <w:marBottom w:val="0"/>
          <w:divBdr>
            <w:top w:val="none" w:sz="0" w:space="0" w:color="auto"/>
            <w:left w:val="none" w:sz="0" w:space="0" w:color="auto"/>
            <w:bottom w:val="none" w:sz="0" w:space="0" w:color="auto"/>
            <w:right w:val="none" w:sz="0" w:space="0" w:color="auto"/>
          </w:divBdr>
        </w:div>
      </w:divsChild>
    </w:div>
    <w:div w:id="212703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www.cundinamarca.gov.co/wcm/connect/816180fa-f4f1-4651-a2a3-e5698968f17d/ESTRATEGIA+DE+COMPETITIVIDAD+PARA+CUNDINAMARCA+VER+ENE+2020.pdf?MOD=AJPERES&amp;CVID=nPtT2bP" TargetMode="External" Id="rId26" /><Relationship Type="http://schemas.openxmlformats.org/officeDocument/2006/relationships/hyperlink" Target="http://www.scielo.org.co/scielo.php?script=sci_arttext&amp;pid=S1909-44502020000200021" TargetMode="External" Id="rId39" /><Relationship Type="http://schemas.openxmlformats.org/officeDocument/2006/relationships/image" Target="media/image11.png" Id="rId21" /><Relationship Type="http://schemas.openxmlformats.org/officeDocument/2006/relationships/hyperlink" Target="https://repositorio.cepal.org/bitstream/handle/11362/37879/S1500268_es.pdf" TargetMode="Externa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pavcowavin.com.co/analisis-de-consumos-de-acueducto-en-zonas-industriales"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sdp.gov.co/sites/default/files/diagnostico_turismo_region_bog-cun_0.pdf" TargetMode="External" Id="rId24" /><Relationship Type="http://schemas.openxmlformats.org/officeDocument/2006/relationships/hyperlink" Target="https://www.google.com/search?q=https://oab.ambientebogota.gov.co/enfermedades-relacionadas-a-danos-ambientales-cuestan-207-billones/%23:~:text%3DEnfermedades%2520relacionadas%2520a%2520da%25C3%25B1os%2520ambientales%2520cuestan%2520%252420%252C7%2520billones,-Publicado%253A%25208%2520mayo%26text%3DEl%2520DNP%2520estima%2520un%2520total,la%2520contaminaci%25C3%25B3n%2520del%2520aire%2520urbano." TargetMode="External" Id="rId32" /><Relationship Type="http://schemas.openxmlformats.org/officeDocument/2006/relationships/hyperlink" Target="https://www.asobancaria.com/wp-content/uploads/2020/11/1260VF.pdf"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fedepapa.com/home/wp-content/uploads/2024/10/Boletin-191.pdf" TargetMode="External" Id="rId23" /><Relationship Type="http://schemas.openxmlformats.org/officeDocument/2006/relationships/hyperlink" Target="https://repositorio.unicolmayor.edu.co/bitstream/handle/unicolmayor/5587/8.Perfil%20del%20consumidor-Camargo%20y%20Lasso%20%281%29.pdf?sequence=1&amp;isAllowed=y" TargetMode="External" Id="rId28" /><Relationship Type="http://schemas.openxmlformats.org/officeDocument/2006/relationships/hyperlink" Target="javascript:void(0);" TargetMode="Externa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fedemaderas.org.co/cuanto-dinero-cuesta-restaurar-los-ecosistemas-de-colombia/"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mincit.gov.co/estudios-economicos/estadisticas-e-informes/informes-de-turismo" TargetMode="External" Id="rId27" /><Relationship Type="http://schemas.openxmlformats.org/officeDocument/2006/relationships/hyperlink" Target="https://www.personeriabogota.gov.co/sala-de-prensa/notas-de-prensa/item/1254-personeria-hace-un-llamado-a-la-eaab-para-reducir-el-indice-de-agua-no-contabilizada-que-hoy-se-acerca-al-40" TargetMode="External" Id="rId30" /><Relationship Type="http://schemas.openxmlformats.org/officeDocument/2006/relationships/hyperlink" Target="http://documentacion.ideam.gov.co/openbiblio/bvirtual/%20022964/documento_nacional_departamental.pdf"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www.cundinamarca.gov.co/wcm/connect/51532dc5-cb4a-4a64-ad6e-c644bf4c57d8/CAPITULO%2B3%2BSUBSISTEMA%2BPRODUCTIVIDAD%2BY%2BCOMPETITIVIDAD%2BSOSTENIBLE.pdf?MOD=AJPERES&amp;CONVERT_TO=url&amp;CACHEID=ROOTWORKSPACE-51532dc5-cb4a-4a64-ad6e-c644bf4c57d8-nRFHd2x" TargetMode="External" Id="rId25" /><Relationship Type="http://schemas.openxmlformats.org/officeDocument/2006/relationships/hyperlink" Target="http://www.scielo.org.co/scielo.php?script=sci_arttext&amp;pid=S0120-01352018000200079" TargetMode="External" Id="rId33" /><Relationship Type="http://schemas.openxmlformats.org/officeDocument/2006/relationships/hyperlink" Target="https://www.google.com/search?q=https://www1.funcionpublica.gov.co/-/colombianos-se-han-ahorrado-31.486-millones-por-racionalizaci%25C3%25B3n-de-729-tr%25C3%25A1mites-en-lo-corrido-de-2021-funci%25C3%25B3n-p%25C3%25BAblica%23:~:text=Colombianos%2520se%2520han%2520ahorrado%2520%2431.486,2021:%2520Funci%25C3%25B3n%2520P%25C3%25BAblica%2520-%2520Funci%25C3%25B3n%2520P%25C3%25BAblica" TargetMode="External" Id="rId3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9335F7C9296E4E98D777A9EC9BAD52" ma:contentTypeVersion="12" ma:contentTypeDescription="Crear nuevo documento." ma:contentTypeScope="" ma:versionID="bdec211111c66436b69dd7773a90206b">
  <xsd:schema xmlns:xsd="http://www.w3.org/2001/XMLSchema" xmlns:xs="http://www.w3.org/2001/XMLSchema" xmlns:p="http://schemas.microsoft.com/office/2006/metadata/properties" xmlns:ns3="6e8bd84c-0103-4207-875b-a79fea513f9f" targetNamespace="http://schemas.microsoft.com/office/2006/metadata/properties" ma:root="true" ma:fieldsID="8767e275a35004af8207afa525687a16" ns3:_="">
    <xsd:import namespace="6e8bd84c-0103-4207-875b-a79fea513f9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bd84c-0103-4207-875b-a79fea513f9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e8bd84c-0103-4207-875b-a79fea513f9f" xsi:nil="true"/>
  </documentManagement>
</p:properties>
</file>

<file path=customXml/itemProps1.xml><?xml version="1.0" encoding="utf-8"?>
<ds:datastoreItem xmlns:ds="http://schemas.openxmlformats.org/officeDocument/2006/customXml" ds:itemID="{BD0ACEC2-60A5-4C3F-9B06-C2A05F2101C0}">
  <ds:schemaRefs>
    <ds:schemaRef ds:uri="http://schemas.openxmlformats.org/officeDocument/2006/bibliography"/>
  </ds:schemaRefs>
</ds:datastoreItem>
</file>

<file path=customXml/itemProps2.xml><?xml version="1.0" encoding="utf-8"?>
<ds:datastoreItem xmlns:ds="http://schemas.openxmlformats.org/officeDocument/2006/customXml" ds:itemID="{8D191D99-E39B-4973-9EDA-AE982DC1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bd84c-0103-4207-875b-a79fea513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2D69B-1F16-47F5-801B-59D56FBD6CD6}">
  <ds:schemaRefs>
    <ds:schemaRef ds:uri="http://schemas.microsoft.com/sharepoint/v3/contenttype/forms"/>
  </ds:schemaRefs>
</ds:datastoreItem>
</file>

<file path=customXml/itemProps4.xml><?xml version="1.0" encoding="utf-8"?>
<ds:datastoreItem xmlns:ds="http://schemas.openxmlformats.org/officeDocument/2006/customXml" ds:itemID="{8C4D247C-3935-4389-8D06-1EFCF4E73AC4}">
  <ds:schemaRefs>
    <ds:schemaRef ds:uri="http://purl.org/dc/elements/1.1/"/>
    <ds:schemaRef ds:uri="http://purl.org/dc/terms/"/>
    <ds:schemaRef ds:uri="http://schemas.microsoft.com/office/2006/metadata/properties"/>
    <ds:schemaRef ds:uri="http://schemas.openxmlformats.org/package/2006/metadata/core-properties"/>
    <ds:schemaRef ds:uri="6e8bd84c-0103-4207-875b-a79fea513f9f"/>
    <ds:schemaRef ds:uri="http://schemas.microsoft.com/office/2006/documentManagement/types"/>
    <ds:schemaRef ds:uri="http://schemas.microsoft.com/office/infopath/2007/PartnerControls"/>
    <ds:schemaRef ds:uri="http://purl.org/dc/dcmitype/"/>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Heinner Santiago Suarez Prada</dc:creator>
  <keywords/>
  <dc:description/>
  <lastModifiedBy>heinnersuarez@outlook.com</lastModifiedBy>
  <revision>38</revision>
  <dcterms:created xsi:type="dcterms:W3CDTF">2025-12-18T13:28:00.0000000Z</dcterms:created>
  <dcterms:modified xsi:type="dcterms:W3CDTF">2026-05-04T14:03:39.2487252Z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0x010100C89335F7C9296E4E98D777A9EC9BAD52</vt:lpwstr>
  </property>
</Properties>
</file>